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26-351</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APPEALS, AND LICENSING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481—Chapters 651, 652, 653, 654, and 655</w:t>
      </w:r>
    </w:p>
    <w:p>
      <w:pPr>
        <w:spacing w:before="0" w:after="0" w:line="480"/>
        <w:ind w:left="120"/>
        <w:jc w:val="center"/>
      </w:pPr>
      <w:r>
        <w:rPr>
          <w:rFonts w:ascii="Times New Roman" w:hAnsi="Times New Roman"/>
          <w:b w:val="false"/>
          <w:i w:val="false"/>
          <w:color w:val="000000"/>
          <w:sz w:val="24"/>
        </w:rPr>
        <w:t>“Fees; Permanent, Emeritus, and Administrative Medicine Physician Licensure; Resident, Special and Temporary Physician Licensure; Continuing Education and Training Requirements; Standards of Practice and Principles of Medical Ethics”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147 and 148</w:t>
      </w:r>
    </w:p>
    <w:p>
      <w:pPr>
        <w:spacing w:before="0" w:after="0" w:line="480"/>
        <w:ind w:left="120"/>
        <w:jc w:val="both"/>
      </w:pPr>
      <w:r>
        <w:rPr>
          <w:rFonts w:ascii="Times New Roman" w:hAnsi="Times New Roman"/>
          <w:b w:val="false"/>
          <w:i w:val="false"/>
          <w:color w:val="000000"/>
          <w:sz w:val="24"/>
        </w:rPr>
        <w:t>State or federal law(s) implemented by the rulemaking: Iowa Code chapters 147 and 148 and 2026 Iowa Acts, House File 571, House File 2788, Senate File 469, and Senate File 2184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17, 2026</w:t>
            </w:r>
            <w:r>
              <w:br/>
            </w:r>
            <w:r>
              <w:rPr>
                <w:rFonts w:ascii="Times New Roman" w:hAnsi="Times New Roman"/>
                <w:b w:val="false"/>
                <w:i w:val="false"/>
                <w:color w:val="000000"/>
                <w:sz w:val="14"/>
              </w:rPr>
              <w:t>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p>
        </w:tc>
      </w:tr>
    </w:tbl>
    <w:p>
      <w:pPr>
        <w:pBdr>
          <w:top w:space="5"/>
        </w:pBdr>
        <w:spacing w:before="0" w:after="0" w:line="480"/>
        <w:ind w:left="120"/>
        <w:jc w:val="both"/>
      </w:pPr>
      <w:r>
        <w:rPr>
          <w:rFonts w:ascii="Times New Roman" w:hAnsi="Times New Roman"/>
          <w:b w:val="false"/>
          <w:i w:val="false"/>
          <w:color w:val="000000"/>
          <w:sz w:val="24"/>
        </w:rPr>
        <w:t>    Virtual participation information will be available on the public calendar on the Department of Inspections, Appeals, and Licensing website prior to the hearing.</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Laura Berardi</w:t>
            </w:r>
            <w:r>
              <w:br/>
            </w:r>
            <w:r>
              <w:rPr>
                <w:rFonts w:ascii="Times New Roman" w:hAnsi="Times New Roman"/>
                <w:b w:val="false"/>
                <w:i w:val="false"/>
                <w:color w:val="000000"/>
                <w:sz w:val="14"/>
              </w:rPr>
              <w:t>Iowa Board of Medicine</w:t>
            </w:r>
            <w:r>
              <w:br/>
            </w: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515.725.2183</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laura.berardi@dia.iowa.gov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updates the Board of Medicine’s rules to implement 2026 Iowa Acts, House File 571, House File 2788, Senate File 469, and Senate File 2184. Additional changes are proposed to update references to specific resources, make rules consistent across chapters or boards, and remove outdated references and information.</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Physicians renewing their license on the new triennial schedule will note a larger fee to pay for their renewal, but the effective per annum cost of their license will not change. Physicians applying for the new emeritus license will see their renewal fees halved. Physicians who perform abortions or prescribe or dispense abortion-inducing drugs will bear the cost of the additional written certification requirements, which should be de minimis.</w:t>
      </w:r>
    </w:p>
    <w:p>
      <w:pPr>
        <w:spacing w:before="0" w:after="0" w:line="480"/>
        <w:ind w:left="120"/>
        <w:jc w:val="both"/>
      </w:pPr>
      <w:r>
        <w:rPr>
          <w:rFonts w:ascii="Times New Roman" w:hAnsi="Times New Roman"/>
          <w:b w:val="false"/>
          <w:i w:val="false"/>
          <w:color w:val="000000"/>
          <w:sz w:val="24"/>
        </w:rPr>
        <w:t>The Department will bear an expense in database and technology costs to implement a new license type and to move a subsection of licenses from a two-year renewal period to a three-year renewal period. Staff salaries to support the work of the Board, including legislative implementation and rulemaking, is covered by the Licensing and Regulation Fund. Licensing fees go to the fund to cover the operations of the regulated professional licensing boards.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Physicians who wish to be licensed as an emeritus physician will benefit from having that option available.</w:t>
      </w:r>
    </w:p>
    <w:p>
      <w:pPr>
        <w:spacing w:before="0" w:after="0" w:line="480"/>
        <w:ind w:left="120"/>
        <w:jc w:val="both"/>
      </w:pPr>
      <w:r>
        <w:rPr>
          <w:rFonts w:ascii="Times New Roman" w:hAnsi="Times New Roman"/>
          <w:b w:val="false"/>
          <w:i w:val="false"/>
          <w:color w:val="000000"/>
          <w:sz w:val="24"/>
        </w:rPr>
        <w:t>Physicians who appreciate renewing their license less frequently will benefit from the change to a triennial renewal cycle.</w:t>
      </w:r>
    </w:p>
    <w:p>
      <w:pPr>
        <w:spacing w:before="0" w:after="0" w:line="480"/>
        <w:ind w:left="120"/>
        <w:jc w:val="both"/>
      </w:pPr>
      <w:r>
        <w:rPr>
          <w:rFonts w:ascii="Times New Roman" w:hAnsi="Times New Roman"/>
          <w:b w:val="false"/>
          <w:i w:val="false"/>
          <w:color w:val="000000"/>
          <w:sz w:val="24"/>
        </w:rPr>
        <w:t>Physicians who wish to name a designee to submit their renewal or application paperwork will benefit from the new allowance in the rules.</w:t>
      </w:r>
    </w:p>
    <w:p>
      <w:pPr>
        <w:spacing w:before="0" w:after="0" w:line="480"/>
        <w:ind w:left="120"/>
        <w:jc w:val="both"/>
      </w:pPr>
      <w:r>
        <w:rPr>
          <w:rFonts w:ascii="Times New Roman" w:hAnsi="Times New Roman"/>
          <w:b w:val="false"/>
          <w:i w:val="false"/>
          <w:color w:val="000000"/>
          <w:sz w:val="24"/>
        </w:rPr>
        <w:t>Licensees under these chapters will benefit from having outdated information removed and references updated.</w:t>
      </w:r>
    </w:p>
    <w:p>
      <w:pPr>
        <w:spacing w:before="0" w:after="0" w:line="480"/>
        <w:ind w:left="120"/>
        <w:jc w:val="both"/>
      </w:pPr>
      <w:r>
        <w:rPr>
          <w:rFonts w:ascii="Times New Roman" w:hAnsi="Times New Roman"/>
          <w:b w:val="false"/>
          <w:i w:val="false"/>
          <w:color w:val="000000"/>
          <w:sz w:val="24"/>
        </w:rPr>
        <w:t>Physicians performing abortions or ordering abortion-inducing drugs will benefit from clearer guidance on what is required of them.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Adding a new license type is estimated to cost $30,000. Adding the license type and changing a subsection of licensees to a three-year renewal cycle will have costs related to development and staff time, but exact costs are not known.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majority of this rulemaking implements changes required by 2026 Iowa Acts. Licensees will benefit by having rules that are up to date, reflect current laws, and provide accurate practice guidance.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Implementing a new license type is estimated to cost $30,000 based on previous experience. There will be additional costs related to staff time and database adjustments to move from a two-year to a three-year renewal cycle for a subsection of licensees. There are no anticipated costs to the agency associated with 2026 Iowa Acts, Senate File 2184.</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will be minimal effect on State revenues over the long term, although there could be some minor changes in inflow from physician licensing fees as the change from two years to three years is implemented. There is no anticipated effect on State revenues related to Senate File 2184.</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majority of this rulemaking implements changes required by 2026 Iowa Acts. The other changes are very minor and do not affect costs, only serving to update and modernize the Board’s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is no alternative to updating the language in these rules. The majority of this rulemaking implements required changes directed by 2026 Iowa Acts.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majority of this rulemaking implements required changes directed by 2026 Iowa Acts. For the few remaining changes proposed, the alternative would be to keep outdated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majority of this rulemaking implements required changes directed by 2026 Iowa Acts. For the few remaining changes proposed, the alternative is not desirable to keeping the Department’s rules current and relevant.</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are no anticipated significant effects on small business, except perhaps small, independent physician practices. Small physician clinics will bear a greater burden adjusting the new written certification requirements and adjustments to the new renewal cycle and continuing education credit requirements. However, there is no way to reduce this already small burden without statutory changes.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651.4(1)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651.4(1)</w:t>
      </w:r>
      <w:r>
        <w:rPr>
          <w:rFonts w:ascii="Times New Roman" w:hAnsi="Times New Roman"/>
          <w:b w:val="false"/>
          <w:i w:val="false"/>
          <w:color w:val="000000"/>
          <w:sz w:val="24"/>
        </w:rPr>
        <w:t> </w:t>
      </w:r>
      <w:r>
        <w:rPr>
          <w:rFonts w:ascii="Times New Roman" w:hAnsi="Times New Roman"/>
          <w:b w:val="false"/>
          <w:i w:val="false"/>
          <w:color w:val="000000"/>
          <w:sz w:val="24"/>
        </w:rPr>
        <w:t>Fees for permanent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Initial licensure, </w:t>
      </w:r>
      <w:r>
        <w:rPr>
          <w:rFonts w:ascii="Times New Roman" w:hAnsi="Times New Roman"/>
          <w:b w:val="false"/>
          <w:i w:val="false"/>
          <w:strike/>
          <w:color w:val="000000"/>
          <w:sz w:val="24"/>
        </w:rPr>
        <w:t>$450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$675</w:t>
      </w:r>
      <w:r>
        <w:rPr>
          <w:rFonts w:ascii="Times New Roman" w:hAnsi="Times New Roman"/>
          <w:b w:val="false"/>
          <w:i w:val="false"/>
          <w:color w:val="000000"/>
          <w:sz w:val="24"/>
        </w:rPr>
        <w:t xml:space="preserve"> plus the $45 fee for evaluation of the fingerprint packet and the criminal history background checks by the DCI and FBI.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Reactivation of application for licensure, </w:t>
      </w:r>
      <w:r>
        <w:rPr>
          <w:rFonts w:ascii="Times New Roman" w:hAnsi="Times New Roman"/>
          <w:b w:val="false"/>
          <w:i w:val="false"/>
          <w:strike/>
          <w:color w:val="000000"/>
          <w:sz w:val="24"/>
        </w:rPr>
        <w:t>$150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$225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Renewal of an active license to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strike/>
          <w:color w:val="000000"/>
          <w:sz w:val="24"/>
        </w:rPr>
        <w:t>$550 if renewal is made via paper application, or $450 if renewal is made via online application,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$675</w:t>
      </w:r>
      <w:r>
        <w:rPr>
          <w:rFonts w:ascii="Times New Roman" w:hAnsi="Times New Roman"/>
          <w:b w:val="false"/>
          <w:i w:val="false"/>
          <w:color w:val="000000"/>
          <w:sz w:val="24"/>
        </w:rPr>
        <w:t xml:space="preserve"> per </w:t>
      </w:r>
      <w:r>
        <w:rPr>
          <w:rFonts w:ascii="Times New Roman" w:hAnsi="Times New Roman"/>
          <w:b w:val="false"/>
          <w:i w:val="false"/>
          <w:strike/>
          <w:color w:val="000000"/>
          <w:sz w:val="24"/>
        </w:rPr>
        <w:t>biennial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triennial</w:t>
      </w:r>
      <w:r>
        <w:rPr>
          <w:rFonts w:ascii="Times New Roman" w:hAnsi="Times New Roman"/>
          <w:b w:val="false"/>
          <w:i w:val="false"/>
          <w:color w:val="000000"/>
          <w:sz w:val="24"/>
        </w:rPr>
        <w:t xml:space="preserve"> period or a prorated portion thereof if the current license was issued for a period of less than </w:t>
      </w:r>
      <w:r>
        <w:rPr>
          <w:rFonts w:ascii="Times New Roman" w:hAnsi="Times New Roman"/>
          <w:b w:val="false"/>
          <w:i w:val="false"/>
          <w:strike/>
          <w:color w:val="000000"/>
          <w:sz w:val="24"/>
        </w:rPr>
        <w:t>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36</w:t>
      </w:r>
      <w:r>
        <w:rPr>
          <w:rFonts w:ascii="Times New Roman" w:hAnsi="Times New Roman"/>
          <w:b w:val="false"/>
          <w:i w:val="false"/>
          <w:color w:val="000000"/>
          <w:sz w:val="24"/>
        </w:rPr>
        <w:t xml:space="preserve">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Reactivation of a license to practice one year or more after becoming inactive, </w:t>
      </w:r>
      <w:r>
        <w:rPr>
          <w:rFonts w:ascii="Times New Roman" w:hAnsi="Times New Roman"/>
          <w:b w:val="false"/>
          <w:i w:val="false"/>
          <w:strike/>
          <w:color w:val="000000"/>
          <w:sz w:val="24"/>
        </w:rPr>
        <w:t>$500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$750</w:t>
      </w:r>
      <w:r>
        <w:rPr>
          <w:rFonts w:ascii="Times New Roman" w:hAnsi="Times New Roman"/>
          <w:b w:val="false"/>
          <w:i w:val="false"/>
          <w:color w:val="000000"/>
          <w:sz w:val="24"/>
        </w:rPr>
        <w:t xml:space="preserve"> plus the $45 fee for the evaluation of the fingerprint packet and the DCI and FBI criminal history background checks.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Reactivation of a license within one year of becoming inactive, </w:t>
      </w:r>
      <w:r>
        <w:rPr>
          <w:rFonts w:ascii="Times New Roman" w:hAnsi="Times New Roman"/>
          <w:b w:val="false"/>
          <w:i w:val="false"/>
          <w:strike/>
          <w:color w:val="000000"/>
          <w:sz w:val="24"/>
        </w:rPr>
        <w:t>$550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$825</w:t>
      </w:r>
      <w:r>
        <w:rPr>
          <w:rFonts w:ascii="Times New Roman" w:hAnsi="Times New Roman"/>
          <w:b w:val="false"/>
          <w:i w:val="false"/>
          <w:color w:val="000000"/>
          <w:sz w:val="24"/>
        </w:rPr>
        <w:t xml:space="preserve"> except when the license in the most recent license period had been granted for less than </w:t>
      </w:r>
      <w:r>
        <w:rPr>
          <w:rFonts w:ascii="Times New Roman" w:hAnsi="Times New Roman"/>
          <w:b w:val="false"/>
          <w:i w:val="false"/>
          <w:strike/>
          <w:color w:val="000000"/>
          <w:sz w:val="24"/>
        </w:rPr>
        <w:t>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36</w:t>
      </w:r>
      <w:r>
        <w:rPr>
          <w:rFonts w:ascii="Times New Roman" w:hAnsi="Times New Roman"/>
          <w:b w:val="false"/>
          <w:i w:val="false"/>
          <w:color w:val="000000"/>
          <w:sz w:val="24"/>
        </w:rPr>
        <w:t xml:space="preserve"> months. In that case, the reinstatement fee is prorated according to the date of issuance and the physician’s </w:t>
      </w:r>
      <w:r>
        <w:rPr>
          <w:rFonts w:ascii="Times New Roman" w:hAnsi="Times New Roman"/>
          <w:b w:val="false"/>
          <w:i w:val="false"/>
          <w:strike/>
          <w:color w:val="000000"/>
          <w:sz w:val="24"/>
        </w:rPr>
        <w:t>month and year of</w:t>
      </w:r>
      <w:r>
        <w:rPr>
          <w:rFonts w:ascii="Times New Roman" w:hAnsi="Times New Roman"/>
          <w:b w:val="false"/>
          <w:i w:val="false"/>
          <w:color w:val="000000"/>
          <w:sz w:val="24"/>
        </w:rPr>
        <w:t xml:space="preserve"> birth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date</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subrules </w:t>
      </w:r>
      <w:r>
        <w:rPr>
          <w:rFonts w:ascii="Times New Roman" w:hAnsi="Times New Roman"/>
          <w:b/>
          <w:i w:val="false"/>
          <w:color w:val="000000"/>
          <w:sz w:val="24"/>
        </w:rPr>
        <w:t>651.4(5)</w:t>
      </w:r>
      <w:r>
        <w:rPr>
          <w:rFonts w:ascii="Times New Roman" w:hAnsi="Times New Roman"/>
          <w:b w:val="false"/>
          <w:i w:val="false"/>
          <w:color w:val="000000"/>
          <w:sz w:val="24"/>
        </w:rPr>
        <w:t xml:space="preserve"> and </w:t>
      </w:r>
      <w:r>
        <w:rPr>
          <w:rFonts w:ascii="Times New Roman" w:hAnsi="Times New Roman"/>
          <w:b/>
          <w:i w:val="false"/>
          <w:color w:val="000000"/>
          <w:sz w:val="24"/>
        </w:rPr>
        <w:t>651.4(6)</w:t>
      </w:r>
      <w:r>
        <w:rPr>
          <w:rFonts w:ascii="Times New Roman" w:hAnsi="Times New Roman"/>
          <w:b w:val="false"/>
          <w:i w:val="false"/>
          <w:color w:val="000000"/>
          <w:sz w:val="24"/>
        </w:rPr>
        <w:t xml:space="preserve"> as </w:t>
      </w:r>
      <w:r>
        <w:rPr>
          <w:rFonts w:ascii="Times New Roman" w:hAnsi="Times New Roman"/>
          <w:b/>
          <w:i w:val="false"/>
          <w:color w:val="000000"/>
          <w:sz w:val="24"/>
        </w:rPr>
        <w:t>651.4(6)</w:t>
      </w:r>
      <w:r>
        <w:rPr>
          <w:rFonts w:ascii="Times New Roman" w:hAnsi="Times New Roman"/>
          <w:b w:val="false"/>
          <w:i w:val="false"/>
          <w:color w:val="000000"/>
          <w:sz w:val="24"/>
        </w:rPr>
        <w:t xml:space="preserve"> and </w:t>
      </w:r>
      <w:r>
        <w:rPr>
          <w:rFonts w:ascii="Times New Roman" w:hAnsi="Times New Roman"/>
          <w:b/>
          <w:i w:val="false"/>
          <w:color w:val="000000"/>
          <w:sz w:val="24"/>
        </w:rPr>
        <w:t>651.4(7)</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651.4(5)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651.4(5)</w:t>
      </w:r>
      <w:r>
        <w:rPr>
          <w:rFonts w:ascii="Times New Roman" w:hAnsi="Times New Roman"/>
          <w:b w:val="false"/>
          <w:i w:val="false"/>
          <w:color w:val="000000"/>
          <w:sz w:val="24"/>
        </w:rPr>
        <w:t> </w:t>
      </w:r>
      <w:r>
        <w:rPr>
          <w:rFonts w:ascii="Times New Roman" w:hAnsi="Times New Roman"/>
          <w:b w:val="false"/>
          <w:i w:val="false"/>
          <w:color w:val="000000"/>
          <w:sz w:val="24"/>
        </w:rPr>
        <w:t>Fees for emeritus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Initial licensure, $337.50 plus the $45 fee for evaluation of the fingerprint packet and the DCI and FBI criminal history background checks.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Renewal, $337.50 per triennial period or a prorated portion thereof if the current license was issued for a period of less than 36 months.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651.5(1)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651.5(1)</w:t>
      </w:r>
      <w:r>
        <w:rPr>
          <w:rFonts w:ascii="Times New Roman" w:hAnsi="Times New Roman"/>
          <w:b w:val="false"/>
          <w:i w:val="false"/>
          <w:color w:val="000000"/>
          <w:sz w:val="24"/>
        </w:rPr>
        <w:t> </w:t>
      </w:r>
      <w:r>
        <w:rPr>
          <w:rFonts w:ascii="Times New Roman" w:hAnsi="Times New Roman"/>
          <w:b w:val="false"/>
          <w:i/>
          <w:color w:val="000000"/>
          <w:sz w:val="24"/>
        </w:rPr>
        <w:t xml:space="preserve">Verification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Physicians shall use VeriDoc to secure a certified statement that verifies Iowa licensure status for any state medical board that accepts VeriDoc. VeriDoc is accessible at </w:t>
      </w:r>
      <w:hyperlink r:id="rId5">
        <w:r>
          <w:rPr>
            <w:rStyle w:val="Hyperlink"/>
            <w:rFonts w:ascii="Times New Roman" w:hAnsi="Times New Roman"/>
            <w:b w:val="false"/>
            <w:i w:val="false"/>
            <w:color w:val="000000"/>
            <w:sz w:val="24"/>
            <w:u w:val="single"/>
          </w:rPr>
          <w:t>www.veridoc.org</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The fee for this service is $30.</w:t>
      </w:r>
      <w:r>
        <w:rPr>
          <w:rFonts w:ascii="Times New Roman" w:hAnsi="Times New Roman"/>
          <w:b w:val="false"/>
          <w:i w:val="false"/>
          <w:color w:val="000000"/>
          <w:sz w:val="24"/>
        </w:rPr>
        <w:t xml:space="preserve"> </w:t>
      </w:r>
      <w:r>
        <w:rPr>
          <w:rFonts w:ascii="Times New Roman" w:hAnsi="Times New Roman"/>
          <w:b w:val="false"/>
          <w:i w:val="false"/>
          <w:color w:val="000000"/>
          <w:sz w:val="24"/>
          <w:u w:val="single"/>
        </w:rPr>
        <w:t>The licensee is responsible for the fee charged by VeriDoc.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physician who needs a certified statement that verifies Iowa licensure status for a </w:t>
      </w:r>
      <w:r>
        <w:rPr>
          <w:rFonts w:ascii="Times New Roman" w:hAnsi="Times New Roman"/>
          <w:b w:val="false"/>
          <w:i w:val="false"/>
          <w:strike/>
          <w:color w:val="000000"/>
          <w:sz w:val="24"/>
        </w:rPr>
        <w:t>state</w:t>
      </w:r>
      <w:r>
        <w:rPr>
          <w:rFonts w:ascii="Times New Roman" w:hAnsi="Times New Roman"/>
          <w:b w:val="false"/>
          <w:i w:val="false"/>
          <w:color w:val="000000"/>
          <w:sz w:val="24"/>
        </w:rPr>
        <w:t xml:space="preserve"> medical board that does not accept verification from VeriDoc shall make a written request for a certified statement with payment of a $30 verification fee to the board of medicine. The board shall provide a certified statement that verifies Iowa licensure status to the nonaccepting state medical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fee for verification of Iowa licensure status that does not require a certified statement or letter is </w:t>
      </w:r>
      <w:r>
        <w:rPr>
          <w:rFonts w:ascii="Times New Roman" w:hAnsi="Times New Roman"/>
          <w:b w:val="false"/>
          <w:i w:val="false"/>
          <w:strike/>
          <w:color w:val="000000"/>
          <w:sz w:val="24"/>
        </w:rPr>
        <w:t>$15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board  provides an  electronic verification service whereby users can input the licensee’s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name or</w:t>
      </w:r>
      <w:r>
        <w:rPr>
          <w:rFonts w:ascii="Times New Roman" w:hAnsi="Times New Roman"/>
          <w:b w:val="false"/>
          <w:i w:val="false"/>
          <w:color w:val="000000"/>
          <w:sz w:val="24"/>
        </w:rPr>
        <w:t xml:space="preserve"> license number to learn the licensee’s current licensure status. There is no fee for this service. </w:t>
      </w:r>
      <w:r>
        <w:rPr>
          <w:rFonts w:ascii="Times New Roman" w:hAnsi="Times New Roman"/>
          <w:b w:val="false"/>
          <w:i w:val="false"/>
          <w:strike/>
          <w:color w:val="000000"/>
          <w:sz w:val="24"/>
        </w:rPr>
        <w:t>The board shall provide a license number for an individual caller to use in the automated telephone or electronic verification service.</w:t>
      </w:r>
      <w:r>
        <w:rPr>
          <w:rFonts w:ascii="Times New Roman" w:hAnsi="Times New Roman"/>
          <w:b w:val="false"/>
          <w:i w:val="false"/>
          <w:color w:val="000000"/>
          <w:sz w:val="24"/>
        </w:rPr>
        <w:t xml:space="preserve"> Businesses that utilize verifications will be required to utilize the automated telephone or electronic verification service or the alternative outlined in paragraph </w:t>
      </w:r>
      <w:hyperlink r:id="rId6">
        <w:r>
          <w:rPr>
            <w:rStyle w:val="Hyperlink"/>
            <w:rFonts w:ascii="Times New Roman" w:hAnsi="Times New Roman"/>
            <w:b w:val="false"/>
            <w:i w:val="false"/>
            <w:color w:val="000000"/>
            <w:sz w:val="24"/>
          </w:rPr>
          <w:t>651.5(1)</w:t>
        </w:r>
      </w:hyperlink>
      <w:r>
        <w:rPr>
          <w:rFonts w:ascii="Times New Roman" w:hAnsi="Times New Roman"/>
          <w:b w:val="false"/>
          <w:i/>
          <w:color w:val="000000"/>
          <w:sz w:val="24"/>
        </w:rPr>
        <w:t>“c.”</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subrule </w:t>
      </w:r>
      <w:r>
        <w:rPr>
          <w:rFonts w:ascii="Times New Roman" w:hAnsi="Times New Roman"/>
          <w:b/>
          <w:i w:val="false"/>
          <w:color w:val="000000"/>
          <w:sz w:val="24"/>
        </w:rPr>
        <w:t>651.5(2)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651.6(1)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651.6(1)</w:t>
      </w:r>
      <w:r>
        <w:rPr>
          <w:rFonts w:ascii="Times New Roman" w:hAnsi="Times New Roman"/>
          <w:b w:val="false"/>
          <w:i w:val="false"/>
          <w:color w:val="000000"/>
          <w:sz w:val="24"/>
        </w:rPr>
        <w:t> </w:t>
      </w:r>
      <w:r>
        <w:rPr>
          <w:rFonts w:ascii="Times New Roman" w:hAnsi="Times New Roman"/>
          <w:b w:val="false"/>
          <w:i/>
          <w:color w:val="000000"/>
          <w:sz w:val="24"/>
        </w:rPr>
        <w:t xml:space="preserve">Public records available at no cost. </w:t>
      </w:r>
      <w:r>
        <w:rPr>
          <w:rFonts w:ascii="Times New Roman" w:hAnsi="Times New Roman"/>
          <w:b w:val="false"/>
          <w:i w:val="false"/>
          <w:color w:val="000000"/>
          <w:sz w:val="24"/>
        </w:rPr>
        <w:t>The following records are available at no cost to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Public action taken by the board against a licensee may be found </w:t>
      </w:r>
      <w:r>
        <w:rPr>
          <w:rFonts w:ascii="Times New Roman" w:hAnsi="Times New Roman"/>
          <w:b w:val="false"/>
          <w:i w:val="false"/>
          <w:strike/>
          <w:color w:val="000000"/>
          <w:sz w:val="24"/>
        </w:rPr>
        <w:t>under the licensee’s name</w:t>
      </w:r>
      <w:r>
        <w:rPr>
          <w:rFonts w:ascii="Times New Roman" w:hAnsi="Times New Roman"/>
          <w:b w:val="false"/>
          <w:i w:val="false"/>
          <w:color w:val="000000"/>
          <w:sz w:val="24"/>
        </w:rPr>
        <w:t xml:space="preserve"> on the </w:t>
      </w:r>
      <w:r>
        <w:rPr>
          <w:rFonts w:ascii="Times New Roman" w:hAnsi="Times New Roman"/>
          <w:b w:val="false"/>
          <w:i w:val="false"/>
          <w:strike/>
          <w:color w:val="000000"/>
          <w:sz w:val="24"/>
        </w:rPr>
        <w:t>board’s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department’s</w:t>
      </w:r>
      <w:r>
        <w:rPr>
          <w:rFonts w:ascii="Times New Roman" w:hAnsi="Times New Roman"/>
          <w:b w:val="false"/>
          <w:i w:val="false"/>
          <w:color w:val="000000"/>
          <w:sz w:val="24"/>
        </w:rPr>
        <w:t xml:space="preserve"> website </w:t>
      </w:r>
      <w:r>
        <w:rPr>
          <w:rFonts w:ascii="Times New Roman" w:hAnsi="Times New Roman"/>
          <w:b w:val="false"/>
          <w:i w:val="false"/>
          <w:strike/>
          <w:color w:val="000000"/>
          <w:sz w:val="24"/>
        </w:rPr>
        <w:t>under “Find A Physician.” Public actions are posted on the board’s website within approximately one week after the board has taken action</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Electronic files of press releases, statements of charges, final orders and consent agreements from each board meeting are available on the </w:t>
      </w:r>
      <w:r>
        <w:rPr>
          <w:rFonts w:ascii="Times New Roman" w:hAnsi="Times New Roman"/>
          <w:b w:val="false"/>
          <w:i w:val="false"/>
          <w:strike/>
          <w:color w:val="000000"/>
          <w:sz w:val="24"/>
        </w:rPr>
        <w:t>board’s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department’s</w:t>
      </w:r>
      <w:r>
        <w:rPr>
          <w:rFonts w:ascii="Times New Roman" w:hAnsi="Times New Roman"/>
          <w:b w:val="false"/>
          <w:i w:val="false"/>
          <w:color w:val="000000"/>
          <w:sz w:val="24"/>
        </w:rPr>
        <w:t xml:space="preserve"> website.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481—651.7(147,148,272C)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481—651.7</w:t>
      </w:r>
      <w:r>
        <w:rPr>
          <w:rFonts w:ascii="Times New Roman" w:hAnsi="Times New Roman"/>
          <w:b/>
          <w:i w:val="false"/>
          <w:color w:val="000000"/>
          <w:sz w:val="24"/>
        </w:rPr>
        <w:t xml:space="preserve">(147,148,272C) </w:t>
      </w:r>
      <w:r>
        <w:rPr>
          <w:rFonts w:ascii="Times New Roman" w:hAnsi="Times New Roman"/>
          <w:b/>
          <w:i w:val="false"/>
          <w:color w:val="000000"/>
          <w:sz w:val="24"/>
        </w:rPr>
        <w:t xml:space="preserve">Licensee data list. </w:t>
      </w:r>
      <w:r>
        <w:rPr>
          <w:rFonts w:ascii="Times New Roman" w:hAnsi="Times New Roman"/>
          <w:b w:val="false"/>
          <w:i w:val="false"/>
          <w:color w:val="000000"/>
          <w:sz w:val="24"/>
        </w:rPr>
        <w:t xml:space="preserve">A data list of all physicians and acupuncturists includes the following information about each licensee: full name, </w:t>
      </w:r>
      <w:r>
        <w:rPr>
          <w:rFonts w:ascii="Times New Roman" w:hAnsi="Times New Roman"/>
          <w:b w:val="false"/>
          <w:i w:val="false"/>
          <w:strike/>
          <w:color w:val="000000"/>
          <w:sz w:val="24"/>
        </w:rPr>
        <w:t>year of birth,</w:t>
      </w:r>
      <w:r>
        <w:rPr>
          <w:rFonts w:ascii="Times New Roman" w:hAnsi="Times New Roman"/>
          <w:b w:val="false"/>
          <w:i w:val="false"/>
          <w:color w:val="000000"/>
          <w:sz w:val="24"/>
        </w:rPr>
        <w:t xml:space="preserve"> work address </w:t>
      </w:r>
      <w:r>
        <w:rPr>
          <w:rFonts w:ascii="Times New Roman" w:hAnsi="Times New Roman"/>
          <w:b w:val="false"/>
          <w:i w:val="false"/>
          <w:strike/>
          <w:color w:val="000000"/>
          <w:sz w:val="24"/>
        </w:rPr>
        <w:t>and telephone number (or other contact information on file if licensee’s work address and telephone number are not available)</w:t>
      </w:r>
      <w:r>
        <w:rPr>
          <w:rFonts w:ascii="Times New Roman" w:hAnsi="Times New Roman"/>
          <w:b w:val="false"/>
          <w:i w:val="false"/>
          <w:color w:val="000000"/>
          <w:sz w:val="24"/>
        </w:rPr>
        <w:t>, Iowa county (if applicable), medical school (if applicable), year of graduation from medical school (if applicable), two medical specialties (if available), license issue date, license expiration date, license number, license type, license status, and an indicator of whether the board has taken any public action on the license. There is no fee for an electronic file of this list. A printed copy of the data list is available for a fee.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i w:val="false"/>
          <w:color w:val="000000"/>
          <w:sz w:val="24"/>
        </w:rPr>
        <w:t>481—Chapter 652</w:t>
      </w:r>
      <w:r>
        <w:rPr>
          <w:rFonts w:ascii="Times New Roman" w:hAnsi="Times New Roman"/>
          <w:b w:val="false"/>
          <w:i w:val="false"/>
          <w:color w:val="000000"/>
          <w:sz w:val="24"/>
        </w:rPr>
        <w:t>, title</w:t>
      </w:r>
      <w:r>
        <w:rPr>
          <w:rFonts w:ascii="Times New Roman" w:hAnsi="Times New Roman"/>
          <w:b w:val="false"/>
          <w:i w:val="false"/>
          <w:color w:val="000000"/>
          <w:sz w:val="24"/>
        </w:rPr>
        <w:t>, as follows:</w:t>
      </w:r>
    </w:p>
    <w:p>
      <w:pPr>
        <w:spacing w:before="0" w:after="0" w:line="480"/>
        <w:ind w:left="120"/>
        <w:jc w:val="center"/>
      </w:pPr>
      <w:r>
        <w:rPr>
          <w:rFonts w:ascii="Times New Roman" w:hAnsi="Times New Roman"/>
          <w:b w:val="false"/>
          <w:i w:val="false"/>
          <w:color w:val="000000"/>
          <w:sz w:val="21"/>
        </w:rPr>
        <w:t>PERMANENT</w:t>
      </w:r>
      <w:r>
        <w:rPr>
          <w:rFonts w:ascii="Times New Roman" w:hAnsi="Times New Roman"/>
          <w:b w:val="false"/>
          <w:i w:val="false"/>
          <w:color w:val="000000"/>
          <w:sz w:val="24"/>
          <w:u w:val="single"/>
        </w:rPr>
        <w:t>, EMERITUS,</w:t>
      </w:r>
      <w:r>
        <w:rPr>
          <w:rFonts w:ascii="Times New Roman" w:hAnsi="Times New Roman"/>
          <w:b w:val="false"/>
          <w:i w:val="false"/>
          <w:color w:val="000000"/>
          <w:sz w:val="21"/>
        </w:rPr>
        <w:t xml:space="preserve"> AND ADMINISTRATIVE MEDICINE PHYSICIAN LICENSURE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“Emeritus licensure”</w:t>
      </w:r>
      <w:r>
        <w:rPr>
          <w:rFonts w:ascii="Times New Roman" w:hAnsi="Times New Roman"/>
          <w:b w:val="false"/>
          <w:i w:val="false"/>
          <w:color w:val="000000"/>
          <w:sz w:val="24"/>
        </w:rPr>
        <w:t xml:space="preserve"> in rule </w:t>
      </w:r>
      <w:r>
        <w:rPr>
          <w:rFonts w:ascii="Times New Roman" w:hAnsi="Times New Roman"/>
          <w:b/>
          <w:i w:val="false"/>
          <w:color w:val="000000"/>
          <w:sz w:val="24"/>
        </w:rPr>
        <w:t>481—652.1(147,148)</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“Emeritus licensure”</w:t>
      </w:r>
      <w:r>
        <w:rPr>
          <w:rFonts w:ascii="Times New Roman" w:hAnsi="Times New Roman"/>
          <w:b w:val="false"/>
          <w:i/>
          <w:color w:val="000000"/>
          <w:sz w:val="24"/>
          <w:u w:val="single"/>
        </w:rPr>
        <w:t> </w:t>
      </w:r>
      <w:r>
        <w:rPr>
          <w:rFonts w:ascii="Times New Roman" w:hAnsi="Times New Roman"/>
          <w:b w:val="false"/>
          <w:i w:val="false"/>
          <w:color w:val="000000"/>
          <w:sz w:val="24"/>
        </w:rPr>
        <w:t>means licensure granted to a physician, surgeon, or osteopathic physician or surgeon who is at least 60 years of age and who is or will be primarily engaged in the practice of supervising and training resident physicians.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481—652.1(147,148)</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“Relinquishment”</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“Relinquishment”</w:t>
      </w:r>
      <w:r>
        <w:rPr>
          <w:rFonts w:ascii="Times New Roman" w:hAnsi="Times New Roman"/>
          <w:b w:val="false"/>
          <w:i/>
          <w:color w:val="000000"/>
          <w:sz w:val="24"/>
          <w:u w:val="single"/>
        </w:rPr>
        <w:t> </w:t>
      </w:r>
      <w:r>
        <w:rPr>
          <w:rFonts w:ascii="Times New Roman" w:hAnsi="Times New Roman"/>
          <w:b w:val="false"/>
          <w:i w:val="false"/>
          <w:color w:val="000000"/>
          <w:sz w:val="24"/>
        </w:rPr>
        <w:t>means that a person’s permanent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emeritus</w:t>
      </w:r>
      <w:r>
        <w:rPr>
          <w:rFonts w:ascii="Times New Roman" w:hAnsi="Times New Roman"/>
          <w:b w:val="false"/>
          <w:i w:val="false"/>
          <w:color w:val="000000"/>
          <w:sz w:val="24"/>
        </w:rPr>
        <w:t xml:space="preserve"> license to practice medicine and surgery, osteopathic medicine and surgery, or administrative medicine is deemed abandoned if the person fails to renew or reactivate the license within five years after its expiration. A license that has been relinquished is no longer valid or renewable. Relinquishment is not disciplinary in nature.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652.3(1)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652.3(1)</w:t>
      </w:r>
      <w:r>
        <w:rPr>
          <w:rFonts w:ascii="Times New Roman" w:hAnsi="Times New Roman"/>
          <w:b w:val="false"/>
          <w:i w:val="false"/>
          <w:color w:val="000000"/>
          <w:sz w:val="24"/>
        </w:rPr>
        <w:t> </w:t>
      </w:r>
      <w:r>
        <w:rPr>
          <w:rFonts w:ascii="Times New Roman" w:hAnsi="Times New Roman"/>
          <w:b w:val="false"/>
          <w:i/>
          <w:color w:val="000000"/>
          <w:sz w:val="24"/>
        </w:rPr>
        <w:t xml:space="preserve">Requirements. </w:t>
      </w:r>
      <w:r>
        <w:rPr>
          <w:rFonts w:ascii="Times New Roman" w:hAnsi="Times New Roman"/>
          <w:b w:val="false"/>
          <w:i w:val="false"/>
          <w:color w:val="000000"/>
          <w:sz w:val="24"/>
        </w:rPr>
        <w:t>To be eligible for permanent</w:t>
      </w:r>
      <w:r>
        <w:rPr>
          <w:rFonts w:ascii="Times New Roman" w:hAnsi="Times New Roman"/>
          <w:b w:val="false"/>
          <w:i w:val="false"/>
          <w:color w:val="000000"/>
          <w:sz w:val="24"/>
          <w:u w:val="single"/>
        </w:rPr>
        <w:t>, emeritus,</w:t>
      </w:r>
      <w:r>
        <w:rPr>
          <w:rFonts w:ascii="Times New Roman" w:hAnsi="Times New Roman"/>
          <w:b w:val="false"/>
          <w:i w:val="false"/>
          <w:color w:val="000000"/>
          <w:sz w:val="24"/>
        </w:rPr>
        <w:t xml:space="preserve"> or administrative medicine licensure, an applicant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652.4(1)“b”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Complete and submit the application and forms provided by the board, including required core credentials, documents, a completed fingerprint packet, and a sworn statement by the applicant attesting to the truth of all information provided by the applicant that has been signed by the applicant in the physical presence of a notary public.</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physician may delegate to another individual the authority to submit an application for licensure on the physician’s behalf, but the applying physician retains all responsibility for ensuring accurate and complete information is submitted.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652.6(1)“d”</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following conditions apply to applicants for licensure in Iowa who utilize USMLE as the licensure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Passing Steps 1, 2, and 3 is required within a </w:t>
      </w:r>
      <w:r>
        <w:rPr>
          <w:rFonts w:ascii="Times New Roman" w:hAnsi="Times New Roman"/>
          <w:b w:val="false"/>
          <w:i w:val="false"/>
          <w:strike/>
          <w:color w:val="000000"/>
          <w:sz w:val="24"/>
        </w:rPr>
        <w:t>ten-year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seven-year</w:t>
      </w:r>
      <w:r>
        <w:rPr>
          <w:rFonts w:ascii="Times New Roman" w:hAnsi="Times New Roman"/>
          <w:b w:val="false"/>
          <w:i w:val="false"/>
          <w:color w:val="000000"/>
          <w:sz w:val="24"/>
        </w:rPr>
        <w:t xml:space="preserve"> period beginning with the date of passing either Step 1 or Step 2, whichever occurred first. If the applicant did not pass Steps 1, 2, and 3 within the required time frame, then the requirement will be satisfied by either proof of active board certification by the ABMS or AOA or proof the delay was caused by participation in a joint M.D./Ph.D. or D.O./Ph.D.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Successful completion of a continuous, progressive three-year resident training program is required if the applicant passes the examination after more than </w:t>
      </w:r>
      <w:r>
        <w:rPr>
          <w:rFonts w:ascii="Times New Roman" w:hAnsi="Times New Roman"/>
          <w:b w:val="false"/>
          <w:i w:val="false"/>
          <w:strike/>
          <w:color w:val="000000"/>
          <w:sz w:val="24"/>
        </w:rPr>
        <w:t>six</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four</w:t>
      </w:r>
      <w:r>
        <w:rPr>
          <w:rFonts w:ascii="Times New Roman" w:hAnsi="Times New Roman"/>
          <w:b w:val="false"/>
          <w:i w:val="false"/>
          <w:color w:val="000000"/>
          <w:sz w:val="24"/>
        </w:rPr>
        <w:t xml:space="preserve"> attempts on Step 1 or </w:t>
      </w:r>
      <w:r>
        <w:rPr>
          <w:rFonts w:ascii="Times New Roman" w:hAnsi="Times New Roman"/>
          <w:b w:val="false"/>
          <w:i w:val="false"/>
          <w:strike/>
          <w:color w:val="000000"/>
          <w:sz w:val="24"/>
        </w:rPr>
        <w:t>six</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four</w:t>
      </w:r>
      <w:r>
        <w:rPr>
          <w:rFonts w:ascii="Times New Roman" w:hAnsi="Times New Roman"/>
          <w:b w:val="false"/>
          <w:i w:val="false"/>
          <w:color w:val="000000"/>
          <w:sz w:val="24"/>
        </w:rPr>
        <w:t xml:space="preserve"> attempts on Step 2 CK and Step 2 CS combined or </w:t>
      </w:r>
      <w:r>
        <w:rPr>
          <w:rFonts w:ascii="Times New Roman" w:hAnsi="Times New Roman"/>
          <w:b w:val="false"/>
          <w:i w:val="false"/>
          <w:strike/>
          <w:color w:val="000000"/>
          <w:sz w:val="24"/>
        </w:rPr>
        <w:t>three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four</w:t>
      </w:r>
      <w:r>
        <w:rPr>
          <w:rFonts w:ascii="Times New Roman" w:hAnsi="Times New Roman"/>
          <w:b w:val="false"/>
          <w:i w:val="false"/>
          <w:color w:val="000000"/>
          <w:sz w:val="24"/>
        </w:rPr>
        <w:t xml:space="preserve"> attempts on Step 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(5)</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 applicant may petition the board to sponsor a fifth attempt on a USMLE examination. USMLE determines if an applicant can make a fifth attempt.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subrules </w:t>
      </w:r>
      <w:r>
        <w:rPr>
          <w:rFonts w:ascii="Times New Roman" w:hAnsi="Times New Roman"/>
          <w:b w:val="false"/>
          <w:i w:val="false"/>
          <w:color w:val="000000"/>
          <w:sz w:val="24"/>
        </w:rPr>
        <w:t>652.7(2)</w:t>
      </w:r>
      <w:r>
        <w:rPr>
          <w:rFonts w:ascii="Times New Roman" w:hAnsi="Times New Roman"/>
          <w:b w:val="false"/>
          <w:i w:val="false"/>
          <w:color w:val="000000"/>
          <w:sz w:val="24"/>
        </w:rPr>
        <w:t xml:space="preserve"> to </w:t>
      </w:r>
      <w:r>
        <w:rPr>
          <w:rFonts w:ascii="Times New Roman" w:hAnsi="Times New Roman"/>
          <w:b w:val="false"/>
          <w:i w:val="false"/>
          <w:color w:val="000000"/>
          <w:sz w:val="24"/>
        </w:rPr>
        <w:t>652.7(4)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652.7(2)</w:t>
      </w:r>
      <w:r>
        <w:rPr>
          <w:rFonts w:ascii="Times New Roman" w:hAnsi="Times New Roman"/>
          <w:b w:val="false"/>
          <w:i w:val="false"/>
          <w:color w:val="000000"/>
          <w:sz w:val="24"/>
        </w:rPr>
        <w:t> </w:t>
      </w:r>
      <w:r>
        <w:rPr>
          <w:rFonts w:ascii="Times New Roman" w:hAnsi="Times New Roman"/>
          <w:b w:val="false"/>
          <w:i w:val="false"/>
          <w:color w:val="000000"/>
          <w:sz w:val="24"/>
        </w:rPr>
        <w:t>After reviewing each application, board staff will notify the applicant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designee</w:t>
      </w:r>
      <w:r>
        <w:rPr>
          <w:rFonts w:ascii="Times New Roman" w:hAnsi="Times New Roman"/>
          <w:b w:val="false"/>
          <w:i w:val="false"/>
          <w:color w:val="000000"/>
          <w:sz w:val="24"/>
        </w:rPr>
        <w:t xml:space="preserve"> about how to resolve any problems. An applicant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an applicant’s designee</w:t>
      </w:r>
      <w:r>
        <w:rPr>
          <w:rFonts w:ascii="Times New Roman" w:hAnsi="Times New Roman"/>
          <w:b w:val="false"/>
          <w:i w:val="false"/>
          <w:color w:val="000000"/>
          <w:sz w:val="24"/>
        </w:rPr>
        <w:t xml:space="preserve"> shall provide additional information when requested by staff or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652.7(3)</w:t>
      </w:r>
      <w:r>
        <w:rPr>
          <w:rFonts w:ascii="Times New Roman" w:hAnsi="Times New Roman"/>
          <w:b w:val="false"/>
          <w:i w:val="false"/>
          <w:color w:val="000000"/>
          <w:sz w:val="24"/>
        </w:rPr>
        <w:t> </w:t>
      </w:r>
      <w:r>
        <w:rPr>
          <w:rFonts w:ascii="Times New Roman" w:hAnsi="Times New Roman"/>
          <w:b w:val="false"/>
          <w:i w:val="false"/>
          <w:color w:val="000000"/>
          <w:sz w:val="24"/>
        </w:rPr>
        <w:t>If the final review indicates no questions or concerns regarding the applicant’s qualifications for licensure, staff may administratively grant the license. The staff may grant the license without having received a report on the applicant from the FBI.</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Licenses shall be granted within 45 calendar days of receipt of a fully completed application unless the board notifies the applicant or the applicant’s designee and, if applicable, the applicant’s employer of specific concerns that would delay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652.7(4)</w:t>
      </w:r>
      <w:r>
        <w:rPr>
          <w:rFonts w:ascii="Times New Roman" w:hAnsi="Times New Roman"/>
          <w:b w:val="false"/>
          <w:i w:val="false"/>
          <w:color w:val="000000"/>
          <w:sz w:val="24"/>
        </w:rPr>
        <w:t> </w:t>
      </w:r>
      <w:r>
        <w:rPr>
          <w:rFonts w:ascii="Times New Roman" w:hAnsi="Times New Roman"/>
          <w:b w:val="false"/>
          <w:i w:val="false"/>
          <w:color w:val="000000"/>
          <w:sz w:val="24"/>
        </w:rPr>
        <w:t>If the final review indicates questions or concerns that cannot be remedied by continued communication with the physician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the physician’s designee</w:t>
      </w:r>
      <w:r>
        <w:rPr>
          <w:rFonts w:ascii="Times New Roman" w:hAnsi="Times New Roman"/>
          <w:b w:val="false"/>
          <w:i w:val="false"/>
          <w:color w:val="000000"/>
          <w:sz w:val="24"/>
        </w:rPr>
        <w:t>, the executive director, director of licensure and director of legal affairs will determine if the questions or concerns indicate any uncertainty about the applicant’s current qualifications for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i w:val="false"/>
          <w:color w:val="000000"/>
          <w:sz w:val="24"/>
        </w:rPr>
        <w:t>652.9(2)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16.</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subrule </w:t>
      </w:r>
      <w:r>
        <w:rPr>
          <w:rFonts w:ascii="Times New Roman" w:hAnsi="Times New Roman"/>
          <w:b/>
          <w:i w:val="false"/>
          <w:color w:val="000000"/>
          <w:sz w:val="24"/>
        </w:rPr>
        <w:t>652.9(3)</w:t>
      </w:r>
      <w:r>
        <w:rPr>
          <w:rFonts w:ascii="Times New Roman" w:hAnsi="Times New Roman"/>
          <w:b w:val="false"/>
          <w:i w:val="false"/>
          <w:color w:val="000000"/>
          <w:sz w:val="24"/>
        </w:rPr>
        <w:t xml:space="preserve"> as </w:t>
      </w:r>
      <w:r>
        <w:rPr>
          <w:rFonts w:ascii="Times New Roman" w:hAnsi="Times New Roman"/>
          <w:b/>
          <w:i w:val="false"/>
          <w:color w:val="000000"/>
          <w:sz w:val="24"/>
        </w:rPr>
        <w:t>652.9(2)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652.10(1)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652.10(1)</w:t>
      </w:r>
      <w:r>
        <w:rPr>
          <w:rFonts w:ascii="Times New Roman" w:hAnsi="Times New Roman"/>
          <w:b w:val="false"/>
          <w:i w:val="false"/>
          <w:color w:val="000000"/>
          <w:sz w:val="24"/>
        </w:rPr>
        <w:t> </w:t>
      </w:r>
      <w:r>
        <w:rPr>
          <w:rFonts w:ascii="Times New Roman" w:hAnsi="Times New Roman"/>
          <w:b w:val="false"/>
          <w:i/>
          <w:color w:val="000000"/>
          <w:sz w:val="24"/>
        </w:rPr>
        <w:t xml:space="preserve">Issuance. </w:t>
      </w:r>
      <w:r>
        <w:rPr>
          <w:rFonts w:ascii="Times New Roman" w:hAnsi="Times New Roman"/>
          <w:b w:val="false"/>
          <w:i w:val="false"/>
          <w:color w:val="000000"/>
          <w:sz w:val="24"/>
        </w:rPr>
        <w:t>Upon the granting of permanent</w:t>
      </w:r>
      <w:r>
        <w:rPr>
          <w:rFonts w:ascii="Times New Roman" w:hAnsi="Times New Roman"/>
          <w:b w:val="false"/>
          <w:i w:val="false"/>
          <w:color w:val="000000"/>
          <w:sz w:val="24"/>
          <w:u w:val="single"/>
        </w:rPr>
        <w:t>, emeritus</w:t>
      </w:r>
      <w:r>
        <w:rPr>
          <w:rFonts w:ascii="Times New Roman" w:hAnsi="Times New Roman"/>
          <w:b w:val="false"/>
          <w:i w:val="false"/>
          <w:color w:val="000000"/>
          <w:sz w:val="24"/>
        </w:rPr>
        <w:t xml:space="preserve"> or administrative medicine licensure, staff will issue a license to practice that will expire on the </w:t>
      </w:r>
      <w:r>
        <w:rPr>
          <w:rFonts w:ascii="Times New Roman" w:hAnsi="Times New Roman"/>
          <w:b w:val="false"/>
          <w:i w:val="false"/>
          <w:strike/>
          <w:color w:val="000000"/>
          <w:sz w:val="24"/>
        </w:rPr>
        <w:t>first day of the</w:t>
      </w:r>
      <w:r>
        <w:rPr>
          <w:rFonts w:ascii="Times New Roman" w:hAnsi="Times New Roman"/>
          <w:b w:val="false"/>
          <w:i w:val="false"/>
          <w:color w:val="000000"/>
          <w:sz w:val="24"/>
        </w:rPr>
        <w:t xml:space="preserve"> licensee’s birth </w:t>
      </w:r>
      <w:r>
        <w:rPr>
          <w:rFonts w:ascii="Times New Roman" w:hAnsi="Times New Roman"/>
          <w:b w:val="false"/>
          <w:i w:val="false"/>
          <w:strike/>
          <w:color w:val="000000"/>
          <w:sz w:val="24"/>
        </w:rPr>
        <w:t>month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date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strike/>
          <w:color w:val="000000"/>
          <w:sz w:val="24"/>
        </w:rPr>
        <w:t>Licenses of persons born in even-numbered years shall expire in an even-numbered year, and licenses of persons born in odd-numbered years shall expire in an odd-numbered year.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After the initial license, licenses shall be valid for a period of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initial</w:t>
      </w:r>
      <w:r>
        <w:rPr>
          <w:rFonts w:ascii="Times New Roman" w:hAnsi="Times New Roman"/>
          <w:b w:val="false"/>
          <w:i w:val="false"/>
          <w:color w:val="000000"/>
          <w:sz w:val="24"/>
        </w:rPr>
        <w:t xml:space="preserve"> license shall not be issued for a period less than two months or greater than </w:t>
      </w:r>
      <w:r>
        <w:rPr>
          <w:rFonts w:ascii="Times New Roman" w:hAnsi="Times New Roman"/>
          <w:b w:val="false"/>
          <w:i w:val="false"/>
          <w:strike/>
          <w:color w:val="000000"/>
          <w:sz w:val="24"/>
        </w:rPr>
        <w:t>two</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three</w:t>
      </w:r>
      <w:r>
        <w:rPr>
          <w:rFonts w:ascii="Times New Roman" w:hAnsi="Times New Roman"/>
          <w:b w:val="false"/>
          <w:i w:val="false"/>
          <w:color w:val="000000"/>
          <w:sz w:val="24"/>
        </w:rPr>
        <w:t xml:space="preserve"> years and two months</w:t>
      </w:r>
      <w:r>
        <w:rPr>
          <w:rFonts w:ascii="Times New Roman" w:hAnsi="Times New Roman"/>
          <w:b w:val="false"/>
          <w:i w:val="false"/>
          <w:strike/>
          <w:color w:val="000000"/>
          <w:sz w:val="24"/>
        </w:rPr>
        <w:t>, in accordance with the licensee’s month and year of birth</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f.</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When a physician with a permanent Iowa license receives an Iowa emeritus medicine license, the permanent Iowa license will immediately become inactive.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f.</w:t>
      </w:r>
      <w:r>
        <w:rPr>
          <w:rFonts w:ascii="Times New Roman" w:hAnsi="Times New Roman"/>
          <w:b w:val="false"/>
          <w:i w:val="false"/>
          <w:color w:val="000000"/>
          <w:sz w:val="24"/>
        </w:rPr>
        <w:t xml:space="preserve"> </w:t>
      </w:r>
      <w:r>
        <w:rPr>
          <w:rFonts w:ascii="Times New Roman" w:hAnsi="Times New Roman"/>
          <w:b w:val="false"/>
          <w:i/>
          <w:color w:val="000000"/>
          <w:sz w:val="24"/>
          <w:u w:val="single"/>
        </w:rPr>
        <w:t>g.</w:t>
      </w:r>
      <w:r>
        <w:rPr>
          <w:rFonts w:ascii="Times New Roman" w:hAnsi="Times New Roman"/>
          <w:b w:val="false"/>
          <w:i w:val="false"/>
          <w:color w:val="000000"/>
          <w:sz w:val="24"/>
        </w:rPr>
        <w:t>A physician with an active permanent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emeritus</w:t>
      </w:r>
      <w:r>
        <w:rPr>
          <w:rFonts w:ascii="Times New Roman" w:hAnsi="Times New Roman"/>
          <w:b w:val="false"/>
          <w:i w:val="false"/>
          <w:color w:val="000000"/>
          <w:sz w:val="24"/>
        </w:rPr>
        <w:t xml:space="preserve"> Iowa license is ineligible for an Iowa resident license.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652.11(2)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652.11(2)</w:t>
      </w:r>
      <w:r>
        <w:rPr>
          <w:rFonts w:ascii="Times New Roman" w:hAnsi="Times New Roman"/>
          <w:b w:val="false"/>
          <w:i w:val="false"/>
          <w:color w:val="000000"/>
          <w:sz w:val="24"/>
        </w:rPr>
        <w:t> </w:t>
      </w:r>
      <w:r>
        <w:rPr>
          <w:rFonts w:ascii="Times New Roman" w:hAnsi="Times New Roman"/>
          <w:b w:val="false"/>
          <w:i/>
          <w:color w:val="000000"/>
          <w:sz w:val="24"/>
        </w:rPr>
        <w:t xml:space="preserve">Change of name. </w:t>
      </w:r>
      <w:r>
        <w:rPr>
          <w:rFonts w:ascii="Times New Roman" w:hAnsi="Times New Roman"/>
          <w:b w:val="false"/>
          <w:i w:val="false"/>
          <w:color w:val="000000"/>
          <w:sz w:val="24"/>
        </w:rPr>
        <w:t xml:space="preserve">A licensee shall notify the board of any change in name within one month of making the name change. Notification requires </w:t>
      </w:r>
      <w:r>
        <w:rPr>
          <w:rFonts w:ascii="Times New Roman" w:hAnsi="Times New Roman"/>
          <w:b w:val="false"/>
          <w:i w:val="false"/>
          <w:strike/>
          <w:color w:val="000000"/>
          <w:sz w:val="24"/>
        </w:rPr>
        <w:t>a notarized copy of a marriage license or a notarized copy of court documents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submitting acceptable proof of name change via one or more legal documents that show both the previous full legal name and the new full legal name</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481—652.12(147,148)</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481—652.12</w:t>
      </w:r>
      <w:r>
        <w:rPr>
          <w:rFonts w:ascii="Times New Roman" w:hAnsi="Times New Roman"/>
          <w:b/>
          <w:i w:val="false"/>
          <w:color w:val="000000"/>
          <w:sz w:val="24"/>
        </w:rPr>
        <w:t xml:space="preserve">(147,148) </w:t>
      </w:r>
      <w:r>
        <w:rPr>
          <w:rFonts w:ascii="Times New Roman" w:hAnsi="Times New Roman"/>
          <w:b/>
          <w:i w:val="false"/>
          <w:color w:val="000000"/>
          <w:sz w:val="24"/>
        </w:rPr>
        <w:t>Renewal of a permanent</w:t>
      </w:r>
      <w:r>
        <w:rPr>
          <w:rFonts w:ascii="Times New Roman" w:hAnsi="Times New Roman"/>
          <w:b/>
          <w:i w:val="false"/>
          <w:color w:val="000000"/>
          <w:sz w:val="24"/>
          <w:u w:val="single"/>
        </w:rPr>
        <w:t>, emeritus,</w:t>
      </w:r>
      <w:r>
        <w:rPr>
          <w:rFonts w:ascii="Times New Roman" w:hAnsi="Times New Roman"/>
          <w:b/>
          <w:i w:val="false"/>
          <w:color w:val="000000"/>
          <w:sz w:val="24"/>
        </w:rPr>
        <w:t xml:space="preserve"> or administrative medicine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652.12(1)</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652.12(2)</w:t>
      </w:r>
      <w:r>
        <w:rPr>
          <w:rFonts w:ascii="Times New Roman" w:hAnsi="Times New Roman"/>
          <w:b w:val="false"/>
          <w:i w:val="false"/>
          <w:color w:val="000000"/>
          <w:sz w:val="24"/>
        </w:rPr>
        <w:t> </w:t>
      </w:r>
      <w:r>
        <w:rPr>
          <w:rFonts w:ascii="Times New Roman" w:hAnsi="Times New Roman"/>
          <w:b w:val="false"/>
          <w:i/>
          <w:color w:val="000000"/>
          <w:sz w:val="24"/>
        </w:rPr>
        <w:t xml:space="preserve">Renewal application requirements. </w:t>
      </w:r>
      <w:r>
        <w:rPr>
          <w:rFonts w:ascii="Times New Roman" w:hAnsi="Times New Roman"/>
          <w:b w:val="false"/>
          <w:i w:val="false"/>
          <w:color w:val="000000"/>
          <w:sz w:val="24"/>
        </w:rPr>
        <w:t xml:space="preserve">A licensee seeking renewal shall submit a completed renewal application; information on continuing education, training on chronic pain management, training on end-of-life care, </w:t>
      </w:r>
      <w:r>
        <w:rPr>
          <w:rFonts w:ascii="Times New Roman" w:hAnsi="Times New Roman"/>
          <w:b w:val="false"/>
          <w:i w:val="false"/>
          <w:strike/>
          <w:color w:val="000000"/>
          <w:sz w:val="24"/>
        </w:rPr>
        <w:t>and</w:t>
      </w:r>
      <w:r>
        <w:rPr>
          <w:rFonts w:ascii="Times New Roman" w:hAnsi="Times New Roman"/>
          <w:b w:val="false"/>
          <w:i w:val="false"/>
          <w:color w:val="000000"/>
          <w:sz w:val="24"/>
        </w:rPr>
        <w:t xml:space="preserve"> training on identifying and reporting abuse</w:t>
      </w:r>
      <w:r>
        <w:rPr>
          <w:rFonts w:ascii="Times New Roman" w:hAnsi="Times New Roman"/>
          <w:b w:val="false"/>
          <w:i w:val="false"/>
          <w:color w:val="000000"/>
          <w:sz w:val="24"/>
          <w:u w:val="single"/>
        </w:rPr>
        <w:t>, and training on nutrition and metabolic health</w:t>
      </w:r>
      <w:r>
        <w:rPr>
          <w:rFonts w:ascii="Times New Roman" w:hAnsi="Times New Roman"/>
          <w:b w:val="false"/>
          <w:i w:val="false"/>
          <w:color w:val="000000"/>
          <w:sz w:val="24"/>
        </w:rPr>
        <w:t>; and the required fee prior to the expiration date on the current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652.12(3)</w:t>
      </w:r>
      <w:r>
        <w:rPr>
          <w:rFonts w:ascii="Times New Roman" w:hAnsi="Times New Roman"/>
          <w:b w:val="false"/>
          <w:i w:val="false"/>
          <w:color w:val="000000"/>
          <w:sz w:val="24"/>
        </w:rPr>
        <w:t> </w:t>
      </w:r>
      <w:r>
        <w:rPr>
          <w:rFonts w:ascii="Times New Roman" w:hAnsi="Times New Roman"/>
          <w:b w:val="false"/>
          <w:i/>
          <w:color w:val="000000"/>
          <w:sz w:val="24"/>
        </w:rPr>
        <w:t xml:space="preserve">Issuance of a renewal. </w:t>
      </w:r>
      <w:r>
        <w:rPr>
          <w:rFonts w:ascii="Times New Roman" w:hAnsi="Times New Roman"/>
          <w:b w:val="false"/>
          <w:i w:val="false"/>
          <w:color w:val="000000"/>
          <w:sz w:val="24"/>
        </w:rPr>
        <w:t xml:space="preserve">Upon receipt of the completed renewal application, staff will administratively issue a </w:t>
      </w:r>
      <w:r>
        <w:rPr>
          <w:rFonts w:ascii="Times New Roman" w:hAnsi="Times New Roman"/>
          <w:b w:val="false"/>
          <w:i w:val="false"/>
          <w:strike/>
          <w:color w:val="000000"/>
          <w:sz w:val="24"/>
        </w:rPr>
        <w:t>two-year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three-year</w:t>
      </w:r>
      <w:r>
        <w:rPr>
          <w:rFonts w:ascii="Times New Roman" w:hAnsi="Times New Roman"/>
          <w:b w:val="false"/>
          <w:i w:val="false"/>
          <w:color w:val="000000"/>
          <w:sz w:val="24"/>
        </w:rPr>
        <w:t xml:space="preserve"> license that expires on the </w:t>
      </w:r>
      <w:r>
        <w:rPr>
          <w:rFonts w:ascii="Times New Roman" w:hAnsi="Times New Roman"/>
          <w:b w:val="false"/>
          <w:i w:val="false"/>
          <w:strike/>
          <w:color w:val="000000"/>
          <w:sz w:val="24"/>
        </w:rPr>
        <w:t>first day of the</w:t>
      </w:r>
      <w:r>
        <w:rPr>
          <w:rFonts w:ascii="Times New Roman" w:hAnsi="Times New Roman"/>
          <w:b w:val="false"/>
          <w:i w:val="false"/>
          <w:color w:val="000000"/>
          <w:sz w:val="24"/>
        </w:rPr>
        <w:t xml:space="preserve"> licensee’s birth </w:t>
      </w:r>
      <w:r>
        <w:rPr>
          <w:rFonts w:ascii="Times New Roman" w:hAnsi="Times New Roman"/>
          <w:b w:val="false"/>
          <w:i w:val="false"/>
          <w:strike/>
          <w:color w:val="000000"/>
          <w:sz w:val="24"/>
        </w:rPr>
        <w:t>month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date</w:t>
      </w:r>
      <w:r>
        <w:rPr>
          <w:rFonts w:ascii="Times New Roman" w:hAnsi="Times New Roman"/>
          <w:b w:val="false"/>
          <w:i w:val="false"/>
          <w:color w:val="000000"/>
          <w:sz w:val="24"/>
        </w:rPr>
        <w:t>. In the event the board receives adverse information on the renewal application, the board will issue the renewal license but may refer the adverse information for further consideration.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 emeritus license may only be renewed once.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652.12(4)</w:t>
      </w:r>
      <w:r>
        <w:rPr>
          <w:rFonts w:ascii="Times New Roman" w:hAnsi="Times New Roman"/>
          <w:b w:val="false"/>
          <w:i w:val="false"/>
          <w:color w:val="000000"/>
          <w:sz w:val="24"/>
        </w:rPr>
        <w:t xml:space="preserve"> and </w:t>
      </w:r>
      <w:r>
        <w:rPr>
          <w:rFonts w:ascii="Times New Roman" w:hAnsi="Times New Roman"/>
          <w:b/>
          <w:i w:val="false"/>
          <w:color w:val="000000"/>
          <w:sz w:val="24"/>
        </w:rPr>
        <w:t>652.12(5)</w:t>
      </w:r>
      <w:r>
        <w:rPr>
          <w:rFonts w:ascii="Times New Roman" w:hAnsi="Times New Roman"/>
          <w:b w:val="false"/>
          <w:i w:val="false"/>
          <w:color w:val="000000"/>
          <w:sz w:val="24"/>
        </w:rPr>
        <w:t xml:space="preserve"> No change.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652.14(1)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652.14(1)</w:t>
      </w:r>
      <w:r>
        <w:rPr>
          <w:rFonts w:ascii="Times New Roman" w:hAnsi="Times New Roman"/>
          <w:b w:val="false"/>
          <w:i w:val="false"/>
          <w:color w:val="000000"/>
          <w:sz w:val="24"/>
        </w:rPr>
        <w:t> </w:t>
      </w:r>
      <w:r>
        <w:rPr>
          <w:rFonts w:ascii="Times New Roman" w:hAnsi="Times New Roman"/>
          <w:b w:val="false"/>
          <w:i/>
          <w:color w:val="000000"/>
          <w:sz w:val="24"/>
        </w:rPr>
        <w:t xml:space="preserve">Reactivation within one year of the license’s becoming inactive. </w:t>
      </w:r>
      <w:r>
        <w:rPr>
          <w:rFonts w:ascii="Times New Roman" w:hAnsi="Times New Roman"/>
          <w:b w:val="false"/>
          <w:i w:val="false"/>
          <w:color w:val="000000"/>
          <w:sz w:val="24"/>
        </w:rPr>
        <w:t>An individual whose license is in inactive status for up to one year and who wishes to reinstate the license shall submit a completed renewal application; the reinstatement fee; documentation of continuing education</w:t>
      </w:r>
      <w:r>
        <w:rPr>
          <w:rFonts w:ascii="Times New Roman" w:hAnsi="Times New Roman"/>
          <w:b w:val="false"/>
          <w:i w:val="false"/>
          <w:color w:val="000000"/>
          <w:sz w:val="24"/>
          <w:u w:val="single"/>
        </w:rPr>
        <w:t>, if applicable</w:t>
      </w:r>
      <w:r>
        <w:rPr>
          <w:rFonts w:ascii="Times New Roman" w:hAnsi="Times New Roman"/>
          <w:b w:val="false"/>
          <w:i w:val="false"/>
          <w:color w:val="000000"/>
          <w:sz w:val="24"/>
        </w:rPr>
        <w:t xml:space="preserve">; and, if applicable, documentation on training on chronic pain management, end-of-life care, </w:t>
      </w:r>
      <w:r>
        <w:rPr>
          <w:rFonts w:ascii="Times New Roman" w:hAnsi="Times New Roman"/>
          <w:b w:val="false"/>
          <w:i w:val="false"/>
          <w:strike/>
          <w:color w:val="000000"/>
          <w:sz w:val="24"/>
        </w:rPr>
        <w:t>and</w:t>
      </w:r>
      <w:r>
        <w:rPr>
          <w:rFonts w:ascii="Times New Roman" w:hAnsi="Times New Roman"/>
          <w:b w:val="false"/>
          <w:i w:val="false"/>
          <w:color w:val="000000"/>
          <w:sz w:val="24"/>
        </w:rPr>
        <w:t xml:space="preserve"> identifying and reporting abuse</w:t>
      </w:r>
      <w:r>
        <w:rPr>
          <w:rFonts w:ascii="Times New Roman" w:hAnsi="Times New Roman"/>
          <w:b w:val="false"/>
          <w:i w:val="false"/>
          <w:color w:val="000000"/>
          <w:sz w:val="24"/>
          <w:u w:val="single"/>
        </w:rPr>
        <w:t>, and nutrition and metabolic health</w:t>
      </w:r>
      <w:r>
        <w:rPr>
          <w:rFonts w:ascii="Times New Roman" w:hAnsi="Times New Roman"/>
          <w:b w:val="false"/>
          <w:i w:val="false"/>
          <w:color w:val="000000"/>
          <w:sz w:val="24"/>
        </w:rPr>
        <w:t>. All of the information shall be received in the board office within one year of the license’s becoming inactive for the applicant to reinstate under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subparagraphs </w:t>
      </w:r>
      <w:r>
        <w:rPr>
          <w:rFonts w:ascii="Times New Roman" w:hAnsi="Times New Roman"/>
          <w:b/>
          <w:i w:val="false"/>
          <w:color w:val="000000"/>
          <w:sz w:val="24"/>
        </w:rPr>
        <w:t>652.14(1)“b”(3)</w:t>
      </w:r>
      <w:r>
        <w:rPr>
          <w:rFonts w:ascii="Times New Roman" w:hAnsi="Times New Roman"/>
          <w:b w:val="false"/>
          <w:i w:val="false"/>
          <w:color w:val="000000"/>
          <w:sz w:val="24"/>
        </w:rPr>
        <w:t xml:space="preserve"> and </w:t>
      </w:r>
      <w:r>
        <w:rPr>
          <w:rFonts w:ascii="Times New Roman" w:hAnsi="Times New Roman"/>
          <w:b/>
          <w:i w:val="false"/>
          <w:color w:val="000000"/>
          <w:sz w:val="24"/>
        </w:rPr>
        <w:t>652.14(1)“b”(4)</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Training on nutrition and metabolic health, if applicable, within the previous four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Continuing education credits are not required to reactivate an emeritus license.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652.14(2)“c”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 documentation of completion of </w:t>
      </w:r>
      <w:r>
        <w:rPr>
          <w:rFonts w:ascii="Times New Roman" w:hAnsi="Times New Roman"/>
          <w:b w:val="false"/>
          <w:i w:val="false"/>
          <w:strike/>
          <w:color w:val="000000"/>
          <w:sz w:val="24"/>
        </w:rPr>
        <w:t>40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60</w:t>
      </w:r>
      <w:r>
        <w:rPr>
          <w:rFonts w:ascii="Times New Roman" w:hAnsi="Times New Roman"/>
          <w:b w:val="false"/>
          <w:i w:val="false"/>
          <w:color w:val="000000"/>
          <w:sz w:val="24"/>
        </w:rPr>
        <w:t xml:space="preserve"> hours of category 1 credit within the previous </w:t>
      </w:r>
      <w:r>
        <w:rPr>
          <w:rFonts w:ascii="Times New Roman" w:hAnsi="Times New Roman"/>
          <w:b w:val="false"/>
          <w:i w:val="false"/>
          <w:strike/>
          <w:color w:val="000000"/>
          <w:sz w:val="24"/>
        </w:rPr>
        <w:t>two</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three</w:t>
      </w:r>
      <w:r>
        <w:rPr>
          <w:rFonts w:ascii="Times New Roman" w:hAnsi="Times New Roman"/>
          <w:b w:val="false"/>
          <w:i w:val="false"/>
          <w:color w:val="000000"/>
          <w:sz w:val="24"/>
        </w:rPr>
        <w:t xml:space="preserve"> years and documentation of training on chronic pain management, end-of-life care, </w:t>
      </w:r>
      <w:r>
        <w:rPr>
          <w:rFonts w:ascii="Times New Roman" w:hAnsi="Times New Roman"/>
          <w:b w:val="false"/>
          <w:i w:val="false"/>
          <w:strike/>
          <w:color w:val="000000"/>
          <w:sz w:val="24"/>
        </w:rPr>
        <w:t>and</w:t>
      </w:r>
      <w:r>
        <w:rPr>
          <w:rFonts w:ascii="Times New Roman" w:hAnsi="Times New Roman"/>
          <w:b w:val="false"/>
          <w:i w:val="false"/>
          <w:color w:val="000000"/>
          <w:sz w:val="24"/>
        </w:rPr>
        <w:t xml:space="preserve"> identifying and reporting abuse</w:t>
      </w:r>
      <w:r>
        <w:rPr>
          <w:rFonts w:ascii="Times New Roman" w:hAnsi="Times New Roman"/>
          <w:b w:val="false"/>
          <w:i w:val="false"/>
          <w:color w:val="000000"/>
          <w:sz w:val="24"/>
          <w:u w:val="single"/>
        </w:rPr>
        <w:t>, and nutrition and metabolic health, as applicable,</w:t>
      </w:r>
      <w:r>
        <w:rPr>
          <w:rFonts w:ascii="Times New Roman" w:hAnsi="Times New Roman"/>
          <w:b w:val="false"/>
          <w:i w:val="false"/>
          <w:color w:val="000000"/>
          <w:sz w:val="24"/>
        </w:rPr>
        <w:t xml:space="preserve"> as specified in </w:t>
      </w:r>
      <w:hyperlink r:id="rId7">
        <w:r>
          <w:rPr>
            <w:rStyle w:val="Hyperlink"/>
            <w:rFonts w:ascii="Times New Roman" w:hAnsi="Times New Roman"/>
            <w:b w:val="false"/>
            <w:i w:val="false"/>
            <w:color w:val="000000"/>
            <w:sz w:val="24"/>
          </w:rPr>
          <w:t>481—Chapter 654</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481—652.16(147,148)</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481—652.16</w:t>
      </w:r>
      <w:r>
        <w:rPr>
          <w:rFonts w:ascii="Times New Roman" w:hAnsi="Times New Roman"/>
          <w:b/>
          <w:i w:val="false"/>
          <w:color w:val="000000"/>
          <w:sz w:val="24"/>
        </w:rPr>
        <w:t xml:space="preserve">(147,148) </w:t>
      </w:r>
      <w:r>
        <w:rPr>
          <w:rFonts w:ascii="Times New Roman" w:hAnsi="Times New Roman"/>
          <w:b/>
          <w:i w:val="false"/>
          <w:color w:val="000000"/>
          <w:sz w:val="24"/>
        </w:rPr>
        <w:t xml:space="preserve">Relinquishment of license to practice. </w:t>
      </w:r>
      <w:r>
        <w:rPr>
          <w:rFonts w:ascii="Times New Roman" w:hAnsi="Times New Roman"/>
          <w:b w:val="false"/>
          <w:i w:val="false"/>
          <w:color w:val="000000"/>
          <w:sz w:val="24"/>
        </w:rPr>
        <w:t>A person’s permanent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emeritus</w:t>
      </w:r>
      <w:r>
        <w:rPr>
          <w:rFonts w:ascii="Times New Roman" w:hAnsi="Times New Roman"/>
          <w:b w:val="false"/>
          <w:i w:val="false"/>
          <w:color w:val="000000"/>
          <w:sz w:val="24"/>
        </w:rPr>
        <w:t xml:space="preserve"> license to practice medicine and surgery, osteopathic medicine and surgery, or administrative medicine shall be deemed relinquished if the person fails to apply for renewal or reactivation of the license within five years after its expiration.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652.16(1)</w:t>
      </w:r>
      <w:r>
        <w:rPr>
          <w:rFonts w:ascii="Times New Roman" w:hAnsi="Times New Roman"/>
          <w:b w:val="false"/>
          <w:i w:val="false"/>
          <w:color w:val="000000"/>
          <w:sz w:val="24"/>
        </w:rPr>
        <w:t xml:space="preserve"> and </w:t>
      </w:r>
      <w:r>
        <w:rPr>
          <w:rFonts w:ascii="Times New Roman" w:hAnsi="Times New Roman"/>
          <w:b/>
          <w:i w:val="false"/>
          <w:color w:val="000000"/>
          <w:sz w:val="24"/>
        </w:rPr>
        <w:t>652.16(2)</w:t>
      </w:r>
      <w:r>
        <w:rPr>
          <w:rFonts w:ascii="Times New Roman" w:hAnsi="Times New Roman"/>
          <w:b w:val="false"/>
          <w:i w:val="false"/>
          <w:color w:val="000000"/>
          <w:sz w:val="24"/>
        </w:rPr>
        <w:t xml:space="preserve"> No change.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24.</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rules </w:t>
      </w:r>
      <w:r>
        <w:rPr>
          <w:rFonts w:ascii="Times New Roman" w:hAnsi="Times New Roman"/>
          <w:b/>
          <w:i w:val="false"/>
          <w:color w:val="000000"/>
          <w:sz w:val="24"/>
        </w:rPr>
        <w:t>481—652.18(147,147B,148)</w:t>
      </w:r>
      <w:r>
        <w:rPr>
          <w:rFonts w:ascii="Times New Roman" w:hAnsi="Times New Roman"/>
          <w:b w:val="false"/>
          <w:i w:val="false"/>
          <w:color w:val="000000"/>
          <w:sz w:val="24"/>
        </w:rPr>
        <w:t xml:space="preserve"> and </w:t>
      </w:r>
      <w:r>
        <w:rPr>
          <w:rFonts w:ascii="Times New Roman" w:hAnsi="Times New Roman"/>
          <w:b/>
          <w:i w:val="false"/>
          <w:color w:val="000000"/>
          <w:sz w:val="24"/>
        </w:rPr>
        <w:t>481—652.19(147,148)</w:t>
      </w:r>
      <w:r>
        <w:rPr>
          <w:rFonts w:ascii="Times New Roman" w:hAnsi="Times New Roman"/>
          <w:b w:val="false"/>
          <w:i w:val="false"/>
          <w:color w:val="000000"/>
          <w:sz w:val="24"/>
        </w:rPr>
        <w:t xml:space="preserve"> as </w:t>
      </w:r>
      <w:r>
        <w:rPr>
          <w:rFonts w:ascii="Times New Roman" w:hAnsi="Times New Roman"/>
          <w:b/>
          <w:i w:val="false"/>
          <w:color w:val="000000"/>
          <w:sz w:val="24"/>
        </w:rPr>
        <w:t>481—652.19(147,147B,148)</w:t>
      </w:r>
      <w:r>
        <w:rPr>
          <w:rFonts w:ascii="Times New Roman" w:hAnsi="Times New Roman"/>
          <w:b w:val="false"/>
          <w:i w:val="false"/>
          <w:color w:val="000000"/>
          <w:sz w:val="24"/>
        </w:rPr>
        <w:t xml:space="preserve"> and </w:t>
      </w:r>
      <w:r>
        <w:rPr>
          <w:rFonts w:ascii="Times New Roman" w:hAnsi="Times New Roman"/>
          <w:b/>
          <w:i w:val="false"/>
          <w:color w:val="000000"/>
          <w:sz w:val="24"/>
        </w:rPr>
        <w:t>481—652.20(147,148)</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25.</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481—652.18(147,148)</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481—652.18</w:t>
      </w:r>
      <w:r>
        <w:rPr>
          <w:rFonts w:ascii="Times New Roman" w:hAnsi="Times New Roman"/>
          <w:b/>
          <w:i w:val="false"/>
          <w:color w:val="000000"/>
          <w:sz w:val="24"/>
        </w:rPr>
        <w:t xml:space="preserve">(147,148) </w:t>
      </w:r>
      <w:r>
        <w:rPr>
          <w:rFonts w:ascii="Times New Roman" w:hAnsi="Times New Roman"/>
          <w:b/>
          <w:i w:val="false"/>
          <w:color w:val="000000"/>
          <w:sz w:val="24"/>
        </w:rPr>
        <w:t xml:space="preserve">Emeritus medicine licensure.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652.18(1)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 xml:space="preserve">An application for an emeritus medicine license shall be made to the board of medicine pursuant to the requirements established in Iowa Code section </w:t>
      </w:r>
      <w:hyperlink r:id="rId8">
        <w:r>
          <w:rPr>
            <w:rStyle w:val="Hyperlink"/>
            <w:rFonts w:ascii="Times New Roman" w:hAnsi="Times New Roman"/>
            <w:b w:val="false"/>
            <w:i w:val="false"/>
            <w:color w:val="000000"/>
            <w:sz w:val="24"/>
          </w:rPr>
          <w:t>148.4</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Senate File 469</w:t>
      </w:r>
      <w:r>
        <w:rPr>
          <w:rFonts w:ascii="Times New Roman" w:hAnsi="Times New Roman"/>
          <w:b w:val="false"/>
          <w:i w:val="false"/>
          <w:color w:val="000000"/>
          <w:sz w:val="24"/>
        </w:rPr>
        <w:t xml:space="preserve">, and this chapter. An applicant for an emeritus medicine license shall be subject to all of the permanent licensure requirements established in Iowa Code section </w:t>
      </w:r>
      <w:hyperlink r:id="rId9">
        <w:r>
          <w:rPr>
            <w:rStyle w:val="Hyperlink"/>
            <w:rFonts w:ascii="Times New Roman" w:hAnsi="Times New Roman"/>
            <w:b w:val="false"/>
            <w:i w:val="false"/>
            <w:color w:val="000000"/>
            <w:sz w:val="24"/>
          </w:rPr>
          <w:t>148.4</w:t>
        </w:r>
      </w:hyperlink>
      <w:r>
        <w:rPr>
          <w:rFonts w:ascii="Times New Roman" w:hAnsi="Times New Roman"/>
          <w:b w:val="false"/>
          <w:i w:val="false"/>
          <w:color w:val="000000"/>
          <w:sz w:val="24"/>
        </w:rPr>
        <w:t xml:space="preserve"> as enacted and this chapter. The board may issue an emeritus medicine license authorizing the licensee to practice medicine as defined by this rule. The license shall be designated “emeritus medicine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652.18(2)</w:t>
      </w:r>
      <w:r>
        <w:rPr>
          <w:rFonts w:ascii="Times New Roman" w:hAnsi="Times New Roman"/>
          <w:b w:val="false"/>
          <w:i w:val="false"/>
          <w:color w:val="000000"/>
          <w:sz w:val="24"/>
        </w:rPr>
        <w:t> </w:t>
      </w:r>
      <w:r>
        <w:rPr>
          <w:rFonts w:ascii="Times New Roman" w:hAnsi="Times New Roman"/>
          <w:b w:val="false"/>
          <w:i/>
          <w:color w:val="000000"/>
          <w:sz w:val="24"/>
        </w:rPr>
        <w:t xml:space="preserve">Fees. </w:t>
      </w:r>
      <w:r>
        <w:rPr>
          <w:rFonts w:ascii="Times New Roman" w:hAnsi="Times New Roman"/>
          <w:b w:val="false"/>
          <w:i w:val="false"/>
          <w:color w:val="000000"/>
          <w:sz w:val="24"/>
        </w:rPr>
        <w:t xml:space="preserve">All license and renewal fees shall be paid to the board in accordance with 481—Chapters </w:t>
      </w:r>
      <w:hyperlink r:id="rId10">
        <w:r>
          <w:rPr>
            <w:rStyle w:val="Hyperlink"/>
            <w:rFonts w:ascii="Times New Roman" w:hAnsi="Times New Roman"/>
            <w:b w:val="false"/>
            <w:i w:val="false"/>
            <w:color w:val="000000"/>
            <w:sz w:val="24"/>
          </w:rPr>
          <w:t>651</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652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652.18(3)</w:t>
      </w:r>
      <w:r>
        <w:rPr>
          <w:rFonts w:ascii="Times New Roman" w:hAnsi="Times New Roman"/>
          <w:b w:val="false"/>
          <w:i w:val="false"/>
          <w:color w:val="000000"/>
          <w:sz w:val="24"/>
        </w:rPr>
        <w:t> </w:t>
      </w:r>
      <w:r>
        <w:rPr>
          <w:rFonts w:ascii="Times New Roman" w:hAnsi="Times New Roman"/>
          <w:b w:val="false"/>
          <w:i/>
          <w:color w:val="000000"/>
          <w:sz w:val="24"/>
        </w:rPr>
        <w:t xml:space="preserve">Demonstration of competence and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an applicant for initial licensure or reactivation of an emeritus medicine license has not actively practiced clinical medicine in a jurisdiction of the United States or Canada in the past three years, the board may require the applicant to demonstrate competence in a method prescribed by the board in accordance with paragraph </w:t>
      </w:r>
      <w:hyperlink r:id="rId12">
        <w:r>
          <w:rPr>
            <w:rStyle w:val="Hyperlink"/>
            <w:rFonts w:ascii="Times New Roman" w:hAnsi="Times New Roman"/>
            <w:b w:val="false"/>
            <w:i w:val="false"/>
            <w:color w:val="000000"/>
            <w:sz w:val="24"/>
          </w:rPr>
          <w:t>652.14(2)</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physician who holds an emeritus medicine license shall be at least 60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physician who holds an emeritus medicine license must be primarily engaged in the supervising and training of resident physicians, spending no less than 51 percent of work hours engaged in such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652.18(4)</w:t>
      </w:r>
      <w:r>
        <w:rPr>
          <w:rFonts w:ascii="Times New Roman" w:hAnsi="Times New Roman"/>
          <w:b w:val="false"/>
          <w:i w:val="false"/>
          <w:color w:val="000000"/>
          <w:sz w:val="24"/>
        </w:rPr>
        <w:t> </w:t>
      </w:r>
      <w:r>
        <w:rPr>
          <w:rFonts w:ascii="Times New Roman" w:hAnsi="Times New Roman"/>
          <w:b w:val="false"/>
          <w:i/>
          <w:color w:val="000000"/>
          <w:sz w:val="24"/>
        </w:rPr>
        <w:t xml:space="preserve">Limited exemptions to laws and rules. </w:t>
      </w:r>
      <w:r>
        <w:rPr>
          <w:rFonts w:ascii="Times New Roman" w:hAnsi="Times New Roman"/>
          <w:b w:val="false"/>
          <w:i w:val="false"/>
          <w:color w:val="000000"/>
          <w:sz w:val="24"/>
        </w:rPr>
        <w:t>A physician with an emeritus medicine license is not required to complete continuing education credits to apply or renew but is subject to all other laws and rules governing the practice of medicine as a person holding a permanent Iowa medical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652.18(5)</w:t>
      </w:r>
      <w:r>
        <w:rPr>
          <w:rFonts w:ascii="Times New Roman" w:hAnsi="Times New Roman"/>
          <w:b w:val="false"/>
          <w:i w:val="false"/>
          <w:color w:val="000000"/>
          <w:sz w:val="24"/>
        </w:rPr>
        <w:t> </w:t>
      </w:r>
      <w:r>
        <w:rPr>
          <w:rFonts w:ascii="Times New Roman" w:hAnsi="Times New Roman"/>
          <w:b w:val="false"/>
          <w:i/>
          <w:color w:val="000000"/>
          <w:sz w:val="24"/>
        </w:rPr>
        <w:t xml:space="preserve">Interstate medical licensure compact. </w:t>
      </w:r>
      <w:r>
        <w:rPr>
          <w:rFonts w:ascii="Times New Roman" w:hAnsi="Times New Roman"/>
          <w:b w:val="false"/>
          <w:i w:val="false"/>
          <w:color w:val="000000"/>
          <w:sz w:val="24"/>
        </w:rPr>
        <w:t>A physician who holds only an emeritus medicine license may not be eligible for licensure under the interstate medical licensure compact.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subparagraph </w:t>
      </w:r>
      <w:r>
        <w:rPr>
          <w:rFonts w:ascii="Times New Roman" w:hAnsi="Times New Roman"/>
          <w:b/>
          <w:i w:val="false"/>
          <w:color w:val="000000"/>
          <w:sz w:val="24"/>
        </w:rPr>
        <w:t>652.19(1)“a”(4)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applicant does not meet any of the requirements under subparagraph </w:t>
      </w:r>
      <w:hyperlink r:id="rId13">
        <w:r>
          <w:rPr>
            <w:rStyle w:val="Hyperlink"/>
            <w:rFonts w:ascii="Times New Roman" w:hAnsi="Times New Roman"/>
            <w:b w:val="false"/>
            <w:i w:val="false"/>
            <w:strike/>
            <w:color w:val="000000"/>
            <w:sz w:val="24"/>
          </w:rPr>
          <w:t>652.18(1)</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652.19(1)</w:t>
      </w:r>
      <w:r>
        <w:rPr>
          <w:rFonts w:ascii="Times New Roman" w:hAnsi="Times New Roman"/>
          <w:b w:val="false"/>
          <w:i/>
          <w:color w:val="000000"/>
          <w:sz w:val="24"/>
        </w:rPr>
        <w:t>“a”</w:t>
      </w:r>
      <w:r>
        <w:rPr>
          <w:rFonts w:ascii="Times New Roman" w:hAnsi="Times New Roman"/>
          <w:b w:val="false"/>
          <w:i w:val="false"/>
          <w:color w:val="000000"/>
          <w:sz w:val="24"/>
        </w:rPr>
        <w:t xml:space="preserve">(1), </w:t>
      </w:r>
      <w:r>
        <w:rPr>
          <w:rFonts w:ascii="Times New Roman" w:hAnsi="Times New Roman"/>
          <w:b w:val="false"/>
          <w:i/>
          <w:color w:val="000000"/>
          <w:sz w:val="24"/>
        </w:rPr>
        <w:t>“a”</w:t>
      </w:r>
      <w:r>
        <w:rPr>
          <w:rFonts w:ascii="Times New Roman" w:hAnsi="Times New Roman"/>
          <w:b w:val="false"/>
          <w:i w:val="false"/>
          <w:color w:val="000000"/>
          <w:sz w:val="24"/>
        </w:rPr>
        <w:t xml:space="preserve">(2), or </w:t>
      </w:r>
      <w:r>
        <w:rPr>
          <w:rFonts w:ascii="Times New Roman" w:hAnsi="Times New Roman"/>
          <w:b w:val="false"/>
          <w:i/>
          <w:color w:val="000000"/>
          <w:sz w:val="24"/>
        </w:rPr>
        <w:t>“a”</w:t>
      </w:r>
      <w:r>
        <w:rPr>
          <w:rFonts w:ascii="Times New Roman" w:hAnsi="Times New Roman"/>
          <w:b w:val="false"/>
          <w:i w:val="false"/>
          <w:color w:val="000000"/>
          <w:sz w:val="24"/>
        </w:rPr>
        <w:t>(3), the applicant can designate Iowa as the state of principal license if Iowa is the applicant’s state of residence for the purposes of federal income tax.</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27.</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the definitions of </w:t>
      </w:r>
      <w:r>
        <w:rPr>
          <w:rFonts w:ascii="Times New Roman" w:hAnsi="Times New Roman"/>
          <w:b w:val="false"/>
          <w:i w:val="false"/>
          <w:color w:val="000000"/>
          <w:sz w:val="24"/>
        </w:rPr>
        <w:t xml:space="preserve">“Training for chronic pain management,” </w:t>
      </w:r>
      <w:r>
        <w:rPr>
          <w:rFonts w:ascii="Times New Roman" w:hAnsi="Times New Roman"/>
          <w:b w:val="false"/>
          <w:i w:val="false"/>
          <w:color w:val="000000"/>
          <w:sz w:val="24"/>
        </w:rPr>
        <w:t xml:space="preserve">“Training for end-of-life care” and </w:t>
      </w:r>
      <w:r>
        <w:rPr>
          <w:rFonts w:ascii="Times New Roman" w:hAnsi="Times New Roman"/>
          <w:b w:val="false"/>
          <w:i w:val="false"/>
          <w:color w:val="000000"/>
          <w:sz w:val="24"/>
        </w:rPr>
        <w:t>“Training for identifying and reporting abuse”</w:t>
      </w:r>
      <w:r>
        <w:rPr>
          <w:rFonts w:ascii="Times New Roman" w:hAnsi="Times New Roman"/>
          <w:b w:val="false"/>
          <w:i w:val="false"/>
          <w:color w:val="000000"/>
          <w:sz w:val="24"/>
        </w:rPr>
        <w:t xml:space="preserve"> in rule </w:t>
      </w:r>
      <w:r>
        <w:rPr>
          <w:rFonts w:ascii="Times New Roman" w:hAnsi="Times New Roman"/>
          <w:b/>
          <w:i w:val="false"/>
          <w:color w:val="000000"/>
          <w:sz w:val="24"/>
        </w:rPr>
        <w:t>481—653.1(147,148)</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653.3(1)“j”</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A resident physician licensee’s file shall be closed and labeled “deceased” when the board receives a copy of the physician’s death certificate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other reliable information of the licensee’s death</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653.4(1)“h”</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special physician licensee file will be closed and labeled “deceased” when the board receives a copy of the physician’s death certificate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other reliable information of the licensee’s death</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653.4(6)“b”(3)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Evidence of continuing education and training on chronic pain management, end-of-life care, </w:t>
      </w:r>
      <w:r>
        <w:rPr>
          <w:rFonts w:ascii="Times New Roman" w:hAnsi="Times New Roman"/>
          <w:b w:val="false"/>
          <w:i w:val="false"/>
          <w:strike/>
          <w:color w:val="000000"/>
          <w:sz w:val="24"/>
        </w:rPr>
        <w:t>and</w:t>
      </w:r>
      <w:r>
        <w:rPr>
          <w:rFonts w:ascii="Times New Roman" w:hAnsi="Times New Roman"/>
          <w:b w:val="false"/>
          <w:i w:val="false"/>
          <w:color w:val="000000"/>
          <w:sz w:val="24"/>
        </w:rPr>
        <w:t xml:space="preserve"> identifying and reporting abuse</w:t>
      </w:r>
      <w:r>
        <w:rPr>
          <w:rFonts w:ascii="Times New Roman" w:hAnsi="Times New Roman"/>
          <w:b w:val="false"/>
          <w:i w:val="false"/>
          <w:color w:val="000000"/>
          <w:sz w:val="24"/>
          <w:u w:val="single"/>
        </w:rPr>
        <w:t>, and nutrition and metabolic health, as applicable,</w:t>
      </w:r>
      <w:r>
        <w:rPr>
          <w:rFonts w:ascii="Times New Roman" w:hAnsi="Times New Roman"/>
          <w:b w:val="false"/>
          <w:i w:val="false"/>
          <w:color w:val="000000"/>
          <w:sz w:val="24"/>
        </w:rPr>
        <w:t xml:space="preserve"> as specified in </w:t>
      </w:r>
      <w:hyperlink r:id="rId14">
        <w:r>
          <w:rPr>
            <w:rStyle w:val="Hyperlink"/>
            <w:rFonts w:ascii="Times New Roman" w:hAnsi="Times New Roman"/>
            <w:b w:val="false"/>
            <w:i w:val="false"/>
            <w:color w:val="000000"/>
            <w:sz w:val="24"/>
          </w:rPr>
          <w:t>481—Chapter 654</w:t>
        </w:r>
      </w:hyperlink>
      <w:r>
        <w:rPr>
          <w:rFonts w:ascii="Times New Roman" w:hAnsi="Times New Roman"/>
          <w:b w:val="false"/>
          <w:i w:val="false"/>
          <w:color w:val="000000"/>
          <w:sz w:val="24"/>
        </w:rPr>
        <w:t>; and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653.5(1)“g”</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file of a physician who holds a temporary license will be closed and labeled “deceased” when the board receives a copy of the physician’s death certificate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other reliable information of the licensee’s death</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653.6(1)“g”</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provisional licensee file will be closed and labeled “deceased” when the board receives a copy of the physician’s death certificate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other reliable information of the licensee’s death</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“Training for chronic pain management” and </w:t>
      </w:r>
      <w:r>
        <w:rPr>
          <w:rFonts w:ascii="Times New Roman" w:hAnsi="Times New Roman"/>
          <w:b w:val="false"/>
          <w:i w:val="false"/>
          <w:color w:val="000000"/>
          <w:sz w:val="24"/>
        </w:rPr>
        <w:t>“Training for end-of-life care”</w:t>
      </w:r>
      <w:r>
        <w:rPr>
          <w:rFonts w:ascii="Times New Roman" w:hAnsi="Times New Roman"/>
          <w:b w:val="false"/>
          <w:i w:val="false"/>
          <w:color w:val="000000"/>
          <w:sz w:val="24"/>
        </w:rPr>
        <w:t xml:space="preserve"> in rule </w:t>
      </w:r>
      <w:r>
        <w:rPr>
          <w:rFonts w:ascii="Times New Roman" w:hAnsi="Times New Roman"/>
          <w:b/>
          <w:i w:val="false"/>
          <w:color w:val="000000"/>
          <w:sz w:val="24"/>
        </w:rPr>
        <w:t>481—654.1(272C)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“Training for chronic pain management”</w:t>
      </w:r>
      <w:r>
        <w:rPr>
          <w:rFonts w:ascii="Times New Roman" w:hAnsi="Times New Roman"/>
          <w:b w:val="false"/>
          <w:i/>
          <w:color w:val="000000"/>
          <w:sz w:val="24"/>
          <w:u w:val="single"/>
        </w:rPr>
        <w:t> </w:t>
      </w:r>
      <w:r>
        <w:rPr>
          <w:rFonts w:ascii="Times New Roman" w:hAnsi="Times New Roman"/>
          <w:b w:val="false"/>
          <w:i w:val="false"/>
          <w:color w:val="000000"/>
          <w:sz w:val="24"/>
        </w:rPr>
        <w:t>means required training on chronic pain management identified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“Training for end-of-life care”</w:t>
      </w:r>
      <w:r>
        <w:rPr>
          <w:rFonts w:ascii="Times New Roman" w:hAnsi="Times New Roman"/>
          <w:b w:val="false"/>
          <w:i/>
          <w:color w:val="000000"/>
          <w:sz w:val="24"/>
          <w:u w:val="single"/>
        </w:rPr>
        <w:t> </w:t>
      </w:r>
      <w:r>
        <w:rPr>
          <w:rFonts w:ascii="Times New Roman" w:hAnsi="Times New Roman"/>
          <w:b w:val="false"/>
          <w:i w:val="false"/>
          <w:color w:val="000000"/>
          <w:sz w:val="24"/>
        </w:rPr>
        <w:t>means required training on end-of-life care identified in this chapter.</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481—654.1(272C)</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“Training for identifying and reporting abuse,”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“Training for identifying and reporting abuse”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training </w:t>
      </w:r>
      <w:r>
        <w:rPr>
          <w:rFonts w:ascii="Times New Roman" w:hAnsi="Times New Roman"/>
          <w:b w:val="false"/>
          <w:i w:val="false"/>
          <w:strike/>
          <w:color w:val="000000"/>
          <w:sz w:val="24"/>
        </w:rPr>
        <w:t xml:space="preserve">as described in Iowa Code section </w:t>
      </w:r>
      <w:hyperlink r:id="rId15">
        <w:r>
          <w:rPr>
            <w:rStyle w:val="Hyperlink"/>
            <w:rFonts w:ascii="Times New Roman" w:hAnsi="Times New Roman"/>
            <w:b w:val="false"/>
            <w:i w:val="false"/>
            <w:strike/>
            <w:color w:val="000000"/>
            <w:sz w:val="24"/>
          </w:rPr>
          <w:t>232.69</w:t>
        </w:r>
      </w:hyperlink>
      <w:r>
        <w:rPr>
          <w:rFonts w:ascii="Times New Roman" w:hAnsi="Times New Roman"/>
          <w:b w:val="false"/>
          <w:i w:val="false"/>
          <w:strike/>
          <w:color w:val="000000"/>
          <w:sz w:val="24"/>
        </w:rPr>
        <w:t xml:space="preserve">; the full requirements for reporting of dependent adult abuse and the training requirements are in Iowa Code section </w:t>
      </w:r>
      <w:hyperlink r:id="rId16">
        <w:r>
          <w:rPr>
            <w:rStyle w:val="Hyperlink"/>
            <w:rFonts w:ascii="Times New Roman" w:hAnsi="Times New Roman"/>
            <w:b w:val="false"/>
            <w:i w:val="false"/>
            <w:strike/>
            <w:color w:val="000000"/>
            <w:sz w:val="24"/>
          </w:rPr>
          <w:t>235B.16</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on identifying and reporting child abuse or dependent adult abuse required of physicians who regularly provide primary health care to children or adults, respectively</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654.2(3)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654.2(3)</w:t>
      </w:r>
      <w:r>
        <w:rPr>
          <w:rFonts w:ascii="Times New Roman" w:hAnsi="Times New Roman"/>
          <w:b w:val="false"/>
          <w:i w:val="false"/>
          <w:color w:val="000000"/>
          <w:sz w:val="24"/>
        </w:rPr>
        <w:t> </w:t>
      </w:r>
      <w:r>
        <w:rPr>
          <w:rFonts w:ascii="Times New Roman" w:hAnsi="Times New Roman"/>
          <w:b w:val="false"/>
          <w:i w:val="false"/>
          <w:color w:val="000000"/>
          <w:sz w:val="24"/>
        </w:rPr>
        <w:t>Each year, the board acknowledges up to ten hours of category 1 credits for physicians who served on the board or Iowa professional health committee, are actively serving alternate members, or performed peer reviews in the previous year. Recipients are notified by the board’s executive director via mail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email</w:t>
      </w:r>
      <w:r>
        <w:rPr>
          <w:rFonts w:ascii="Times New Roman" w:hAnsi="Times New Roman"/>
          <w:b w:val="false"/>
          <w:i w:val="false"/>
          <w:color w:val="000000"/>
          <w:sz w:val="24"/>
        </w:rPr>
        <w:t xml:space="preserve"> in January.</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481—654.3(272C)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481—654.3</w:t>
      </w:r>
      <w:r>
        <w:rPr>
          <w:rFonts w:ascii="Times New Roman" w:hAnsi="Times New Roman"/>
          <w:b/>
          <w:i w:val="false"/>
          <w:color w:val="000000"/>
          <w:sz w:val="24"/>
        </w:rPr>
        <w:t xml:space="preserve">(272C) </w:t>
      </w:r>
      <w:r>
        <w:rPr>
          <w:rFonts w:ascii="Times New Roman" w:hAnsi="Times New Roman"/>
          <w:b/>
          <w:i w:val="false"/>
          <w:color w:val="000000"/>
          <w:sz w:val="24"/>
        </w:rPr>
        <w:t xml:space="preserve">Continuing education and training requirements for renewal or reactivation. </w:t>
      </w:r>
      <w:r>
        <w:rPr>
          <w:rFonts w:ascii="Times New Roman" w:hAnsi="Times New Roman"/>
          <w:b w:val="false"/>
          <w:i w:val="false"/>
          <w:color w:val="000000"/>
          <w:sz w:val="24"/>
        </w:rPr>
        <w:t>A licensee shall meet the requirements in this rule to qualify for renewal of a permanent license, an administrative medicine license, or special license or to qualify for reactivation of a permanent license or an administrative medicine license.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Emeritus licensees are exempt from continuing education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654.3(1)</w:t>
      </w:r>
      <w:r>
        <w:rPr>
          <w:rFonts w:ascii="Times New Roman" w:hAnsi="Times New Roman"/>
          <w:b w:val="false"/>
          <w:i w:val="false"/>
          <w:color w:val="000000"/>
          <w:sz w:val="24"/>
        </w:rPr>
        <w:t> </w:t>
      </w:r>
      <w:r>
        <w:rPr>
          <w:rFonts w:ascii="Times New Roman" w:hAnsi="Times New Roman"/>
          <w:b w:val="false"/>
          <w:i/>
          <w:color w:val="000000"/>
          <w:sz w:val="24"/>
        </w:rPr>
        <w:t xml:space="preserve">Continuing education and training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Continuing education for permanent license or administrative medicine license renewal. </w:t>
      </w:r>
      <w:r>
        <w:rPr>
          <w:rFonts w:ascii="Times New Roman" w:hAnsi="Times New Roman"/>
          <w:b w:val="false"/>
          <w:i w:val="false"/>
          <w:color w:val="000000"/>
          <w:sz w:val="24"/>
        </w:rPr>
        <w:t xml:space="preserve">Except as provided in these rules, a total of </w:t>
      </w:r>
      <w:r>
        <w:rPr>
          <w:rFonts w:ascii="Times New Roman" w:hAnsi="Times New Roman"/>
          <w:b w:val="false"/>
          <w:i w:val="false"/>
          <w:strike/>
          <w:color w:val="000000"/>
          <w:sz w:val="24"/>
        </w:rPr>
        <w:t>40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60</w:t>
      </w:r>
      <w:r>
        <w:rPr>
          <w:rFonts w:ascii="Times New Roman" w:hAnsi="Times New Roman"/>
          <w:b w:val="false"/>
          <w:i w:val="false"/>
          <w:color w:val="000000"/>
          <w:sz w:val="24"/>
        </w:rPr>
        <w:t xml:space="preserve"> hours of category 1 credit or board-approved equivalent is required for </w:t>
      </w:r>
      <w:r>
        <w:rPr>
          <w:rFonts w:ascii="Times New Roman" w:hAnsi="Times New Roman"/>
          <w:b w:val="false"/>
          <w:i w:val="false"/>
          <w:strike/>
          <w:color w:val="000000"/>
          <w:sz w:val="24"/>
        </w:rPr>
        <w:t>biennial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triennial</w:t>
      </w:r>
      <w:r>
        <w:rPr>
          <w:rFonts w:ascii="Times New Roman" w:hAnsi="Times New Roman"/>
          <w:b w:val="false"/>
          <w:i w:val="false"/>
          <w:color w:val="000000"/>
          <w:sz w:val="24"/>
        </w:rPr>
        <w:t xml:space="preserve"> renewal of a permanent license or an administrative medicine license. This may include up to </w:t>
      </w:r>
      <w:r>
        <w:rPr>
          <w:rFonts w:ascii="Times New Roman" w:hAnsi="Times New Roman"/>
          <w:b w:val="false"/>
          <w:i w:val="false"/>
          <w:strike/>
          <w:color w:val="000000"/>
          <w:sz w:val="24"/>
        </w:rPr>
        <w:t>20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30</w:t>
      </w:r>
      <w:r>
        <w:rPr>
          <w:rFonts w:ascii="Times New Roman" w:hAnsi="Times New Roman"/>
          <w:b w:val="false"/>
          <w:i w:val="false"/>
          <w:color w:val="000000"/>
          <w:sz w:val="24"/>
        </w:rPr>
        <w:t xml:space="preserve"> hours of carryover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To facilitate license renewal according to birth </w:t>
      </w:r>
      <w:r>
        <w:rPr>
          <w:rFonts w:ascii="Times New Roman" w:hAnsi="Times New Roman"/>
          <w:b w:val="false"/>
          <w:i w:val="false"/>
          <w:strike/>
          <w:color w:val="000000"/>
          <w:sz w:val="24"/>
        </w:rPr>
        <w:t>month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date</w:t>
      </w:r>
      <w:r>
        <w:rPr>
          <w:rFonts w:ascii="Times New Roman" w:hAnsi="Times New Roman"/>
          <w:b w:val="false"/>
          <w:i w:val="false"/>
          <w:color w:val="000000"/>
          <w:sz w:val="24"/>
        </w:rPr>
        <w:t xml:space="preserve">, a licensee’s first license may be issued for less than </w:t>
      </w:r>
      <w:r>
        <w:rPr>
          <w:rFonts w:ascii="Times New Roman" w:hAnsi="Times New Roman"/>
          <w:b w:val="false"/>
          <w:i w:val="false"/>
          <w:strike/>
          <w:color w:val="000000"/>
          <w:sz w:val="24"/>
        </w:rPr>
        <w:t>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36</w:t>
      </w:r>
      <w:r>
        <w:rPr>
          <w:rFonts w:ascii="Times New Roman" w:hAnsi="Times New Roman"/>
          <w:b w:val="false"/>
          <w:i w:val="false"/>
          <w:color w:val="000000"/>
          <w:sz w:val="24"/>
        </w:rPr>
        <w:t xml:space="preserve"> months. The number of hours of category 1 credit required of a licensee whose license has been issued for less than </w:t>
      </w:r>
      <w:r>
        <w:rPr>
          <w:rFonts w:ascii="Times New Roman" w:hAnsi="Times New Roman"/>
          <w:b w:val="false"/>
          <w:i w:val="false"/>
          <w:strike/>
          <w:color w:val="000000"/>
          <w:sz w:val="24"/>
        </w:rPr>
        <w:t>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36</w:t>
      </w:r>
      <w:r>
        <w:rPr>
          <w:rFonts w:ascii="Times New Roman" w:hAnsi="Times New Roman"/>
          <w:b w:val="false"/>
          <w:i w:val="false"/>
          <w:color w:val="000000"/>
          <w:sz w:val="24"/>
        </w:rPr>
        <w:t xml:space="preserve"> months shall be reduced on a pro-rata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licensee desiring to obtain credit for carryover hours reports the carryover, not to exceed </w:t>
      </w:r>
      <w:r>
        <w:rPr>
          <w:rFonts w:ascii="Times New Roman" w:hAnsi="Times New Roman"/>
          <w:b w:val="false"/>
          <w:i w:val="false"/>
          <w:strike/>
          <w:color w:val="000000"/>
          <w:sz w:val="24"/>
        </w:rPr>
        <w:t>20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30</w:t>
      </w:r>
      <w:r>
        <w:rPr>
          <w:rFonts w:ascii="Times New Roman" w:hAnsi="Times New Roman"/>
          <w:b w:val="false"/>
          <w:i w:val="false"/>
          <w:color w:val="000000"/>
          <w:sz w:val="24"/>
        </w:rPr>
        <w:t xml:space="preserve"> hours of category 1 credit, on the renewal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f.</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Training for nutrition and metabolic health. </w:t>
      </w:r>
      <w:r>
        <w:rPr>
          <w:rFonts w:ascii="Times New Roman" w:hAnsi="Times New Roman"/>
          <w:b w:val="false"/>
          <w:i w:val="false"/>
          <w:color w:val="000000"/>
          <w:sz w:val="24"/>
          <w:u w:val="single"/>
        </w:rPr>
        <w:t xml:space="preserve">A licensee practicing family medicine, internal medicine, pediatrics, psychiatry, endocrinology, gastroenterology, cardiology, oncology, rheumatology, neurology, nephrology, dermatology, pulmonology, surgery, immunology, hematology, obstetrics, or gynecology shall complete a minimum of one hour of continuing education on nutrition and metabolic health every four years. A licensee shall complete the training for nutrition and metabolic health as part of a category 1 credit or an approved training program. The licensee may utilize category 1 credit received for this training during the license period in which the training occurred to meet continuing education requirements in paragraph </w:t>
      </w:r>
      <w:r>
        <w:rPr>
          <w:rFonts w:ascii="Times New Roman" w:hAnsi="Times New Roman"/>
          <w:b w:val="false"/>
          <w:i w:val="false"/>
          <w:color w:val="000000"/>
          <w:sz w:val="24"/>
          <w:u w:val="single"/>
        </w:rPr>
        <w:t>654.3(1)</w:t>
      </w:r>
      <w:r>
        <w:rPr>
          <w:rFonts w:ascii="Times New Roman" w:hAnsi="Times New Roman"/>
          <w:b w:val="false"/>
          <w:i/>
          <w:color w:val="000000"/>
          <w:sz w:val="24"/>
          <w:u w:val="single"/>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654.3(2)</w:t>
      </w:r>
      <w:r>
        <w:rPr>
          <w:rFonts w:ascii="Times New Roman" w:hAnsi="Times New Roman"/>
          <w:b w:val="false"/>
          <w:i w:val="false"/>
          <w:color w:val="000000"/>
          <w:sz w:val="24"/>
        </w:rPr>
        <w:t xml:space="preserve"> and </w:t>
      </w:r>
      <w:r>
        <w:rPr>
          <w:rFonts w:ascii="Times New Roman" w:hAnsi="Times New Roman"/>
          <w:b/>
          <w:i w:val="false"/>
          <w:color w:val="000000"/>
          <w:sz w:val="24"/>
        </w:rPr>
        <w:t>654.3(3)</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654.3(4)</w:t>
      </w:r>
      <w:r>
        <w:rPr>
          <w:rFonts w:ascii="Times New Roman" w:hAnsi="Times New Roman"/>
          <w:b w:val="false"/>
          <w:i w:val="false"/>
          <w:color w:val="000000"/>
          <w:sz w:val="24"/>
        </w:rPr>
        <w:t> </w:t>
      </w:r>
      <w:r>
        <w:rPr>
          <w:rFonts w:ascii="Times New Roman" w:hAnsi="Times New Roman"/>
          <w:b w:val="false"/>
          <w:i/>
          <w:color w:val="000000"/>
          <w:sz w:val="24"/>
        </w:rPr>
        <w:t xml:space="preserve">Reactivation requirement. </w:t>
      </w:r>
      <w:r>
        <w:rPr>
          <w:rFonts w:ascii="Times New Roman" w:hAnsi="Times New Roman"/>
          <w:b w:val="false"/>
          <w:i w:val="false"/>
          <w:color w:val="000000"/>
          <w:sz w:val="24"/>
        </w:rPr>
        <w:t xml:space="preserve">An applicant for license reactivation whose license has been inactive for one year or more shall provide proof of successful completion of </w:t>
      </w:r>
      <w:r>
        <w:rPr>
          <w:rFonts w:ascii="Times New Roman" w:hAnsi="Times New Roman"/>
          <w:b w:val="false"/>
          <w:i w:val="false"/>
          <w:strike/>
          <w:color w:val="000000"/>
          <w:sz w:val="24"/>
        </w:rPr>
        <w:t>40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60</w:t>
      </w:r>
      <w:r>
        <w:rPr>
          <w:rFonts w:ascii="Times New Roman" w:hAnsi="Times New Roman"/>
          <w:b w:val="false"/>
          <w:i w:val="false"/>
          <w:color w:val="000000"/>
          <w:sz w:val="24"/>
        </w:rPr>
        <w:t xml:space="preserve"> hours of category 1 credit completed within </w:t>
      </w:r>
      <w:r>
        <w:rPr>
          <w:rFonts w:ascii="Times New Roman" w:hAnsi="Times New Roman"/>
          <w:b w:val="false"/>
          <w:i w:val="false"/>
          <w:strike/>
          <w:color w:val="000000"/>
          <w:sz w:val="24"/>
        </w:rPr>
        <w:t>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36</w:t>
      </w:r>
      <w:r>
        <w:rPr>
          <w:rFonts w:ascii="Times New Roman" w:hAnsi="Times New Roman"/>
          <w:b w:val="false"/>
          <w:i w:val="false"/>
          <w:color w:val="000000"/>
          <w:sz w:val="24"/>
        </w:rPr>
        <w:t xml:space="preserve"> months prior to submission of the application for reactivation or proof of successful completion of SPEX or COMVEX-USA within one year immediately prior to the submission of the application for reinstatement.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654.3(5)</w:t>
      </w:r>
      <w:r>
        <w:rPr>
          <w:rFonts w:ascii="Times New Roman" w:hAnsi="Times New Roman"/>
          <w:b w:val="false"/>
          <w:i w:val="false"/>
          <w:color w:val="000000"/>
          <w:sz w:val="24"/>
        </w:rPr>
        <w:t xml:space="preserve"> and </w:t>
      </w:r>
      <w:r>
        <w:rPr>
          <w:rFonts w:ascii="Times New Roman" w:hAnsi="Times New Roman"/>
          <w:b/>
          <w:i w:val="false"/>
          <w:color w:val="000000"/>
          <w:sz w:val="24"/>
        </w:rPr>
        <w:t>654.3(6)</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654.3(7)</w:t>
      </w:r>
      <w:r>
        <w:rPr>
          <w:rFonts w:ascii="Times New Roman" w:hAnsi="Times New Roman"/>
          <w:b w:val="false"/>
          <w:i w:val="false"/>
          <w:color w:val="000000"/>
          <w:sz w:val="24"/>
        </w:rPr>
        <w:t> </w:t>
      </w:r>
      <w:r>
        <w:rPr>
          <w:rFonts w:ascii="Times New Roman" w:hAnsi="Times New Roman"/>
          <w:b w:val="false"/>
          <w:i/>
          <w:color w:val="000000"/>
          <w:sz w:val="24"/>
        </w:rPr>
        <w:t xml:space="preserve">Audits. </w:t>
      </w:r>
      <w:r>
        <w:rPr>
          <w:rFonts w:ascii="Times New Roman" w:hAnsi="Times New Roman"/>
          <w:b w:val="false"/>
          <w:i w:val="false"/>
          <w:color w:val="000000"/>
          <w:sz w:val="24"/>
        </w:rPr>
        <w:t xml:space="preserve">The board may audit continuing education and training documentation at any time. A licensee shall respond to a board audit and provide all materials requested within 30 days of a request made by </w:t>
      </w:r>
      <w:r>
        <w:rPr>
          <w:rFonts w:ascii="Times New Roman" w:hAnsi="Times New Roman"/>
          <w:b w:val="false"/>
          <w:i w:val="false"/>
          <w:strike/>
          <w:color w:val="000000"/>
          <w:sz w:val="24"/>
        </w:rPr>
        <w:t>board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department</w:t>
      </w:r>
      <w:r>
        <w:rPr>
          <w:rFonts w:ascii="Times New Roman" w:hAnsi="Times New Roman"/>
          <w:b w:val="false"/>
          <w:i w:val="false"/>
          <w:color w:val="000000"/>
          <w:sz w:val="24"/>
        </w:rPr>
        <w:t xml:space="preserve">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654.3(8)</w:t>
      </w:r>
      <w:r>
        <w:rPr>
          <w:rFonts w:ascii="Times New Roman" w:hAnsi="Times New Roman"/>
          <w:b w:val="false"/>
          <w:i w:val="false"/>
          <w:color w:val="000000"/>
          <w:sz w:val="24"/>
        </w:rPr>
        <w:t xml:space="preserve"> No change.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655.2(5)“b”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physician who prescribes, dispenses or administers opioids to patients for the treatment of chronic pain should become familiar with the U.S. Centers for Disease Control and Prevention (CDC) Guideline for Prescribing Opioids for Chronic Pain published on </w:t>
      </w:r>
      <w:r>
        <w:rPr>
          <w:rFonts w:ascii="Times New Roman" w:hAnsi="Times New Roman"/>
          <w:b w:val="false"/>
          <w:i w:val="false"/>
          <w:strike/>
          <w:color w:val="000000"/>
          <w:sz w:val="24"/>
        </w:rPr>
        <w:t>March 15, 2016</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November 4, 2022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655.2(10)“f”</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Responsible Opioid Prescribing: A Physician’s Guide. In 2007, in collaboration with author Scott Fishman, M.D., the Federation of State Medical Boards’ (FSMB’s) Research and Education Foundation published a book on responsible opioid prescribing based on the FSMB Model Policy for the Use of Controlled Substances for the Treatment of Pain.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2014 expanded edition is titled Responsible Opioid Prescribing: A Clinician’s Guide.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39.</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i w:val="false"/>
          <w:color w:val="000000"/>
          <w:sz w:val="24"/>
        </w:rPr>
        <w:t>655.4(2)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40.</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subrule </w:t>
      </w:r>
      <w:r>
        <w:rPr>
          <w:rFonts w:ascii="Times New Roman" w:hAnsi="Times New Roman"/>
          <w:b/>
          <w:i w:val="false"/>
          <w:color w:val="000000"/>
          <w:sz w:val="24"/>
        </w:rPr>
        <w:t>655.4(3)</w:t>
      </w:r>
      <w:r>
        <w:rPr>
          <w:rFonts w:ascii="Times New Roman" w:hAnsi="Times New Roman"/>
          <w:b w:val="false"/>
          <w:i w:val="false"/>
          <w:color w:val="000000"/>
          <w:sz w:val="24"/>
        </w:rPr>
        <w:t xml:space="preserve"> as </w:t>
      </w:r>
      <w:r>
        <w:rPr>
          <w:rFonts w:ascii="Times New Roman" w:hAnsi="Times New Roman"/>
          <w:b/>
          <w:i w:val="false"/>
          <w:color w:val="000000"/>
          <w:sz w:val="24"/>
        </w:rPr>
        <w:t>655.4(2)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i w:val="false"/>
          <w:color w:val="000000"/>
          <w:sz w:val="24"/>
        </w:rPr>
        <w:t>655.6(1)</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“Medical aesthetic service,”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aesthetic service”</w:t>
      </w:r>
      <w:r>
        <w:rPr>
          <w:rFonts w:ascii="Times New Roman" w:hAnsi="Times New Roman"/>
          <w:b w:val="false"/>
          <w:i/>
          <w:color w:val="000000"/>
          <w:sz w:val="24"/>
          <w:u w:val="single"/>
        </w:rPr>
        <w:t> </w:t>
      </w:r>
      <w:r>
        <w:rPr>
          <w:rFonts w:ascii="Times New Roman" w:hAnsi="Times New Roman"/>
          <w:b w:val="false"/>
          <w:i w:val="false"/>
          <w:color w:val="000000"/>
          <w:sz w:val="24"/>
        </w:rPr>
        <w:t>means the diagnosis, treatment, or correction of human conditions, ailments, diseases, injuries, or infirmities of the skin, hair, nails and mucous membranes by any means, methods, devices, or instruments including the use of a biological or synthetic material, chemical application, mechanical device, or displaced energy form of any kind if it alters or damages or is capable of altering or damaging living tissue below the superficial epidermal cells, with the exception of hair removal. Medical aesthetic service includes</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but is not limited to</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the following services: ablative laser therapy; vaporizing laser therapy; nonsuperficial light device therapy; injectables; tissue alteration services; nonsuperficial light-emitting diode therapy; nonsuperficial intense pulse light therapy; nonsuperficial radiofrequency therapy; nonsuperficial ultrasonic therapy; nonsuperficial exfoliation; nonsuperficial microdermabrasion; nonsuperficial dermaplane exfoliation; nonsuperficial lymphatic drainage; collagen induction therapy (microneedling); fat-freezing treatment (cool sculpting); </w:t>
      </w:r>
      <w:r>
        <w:rPr>
          <w:rFonts w:ascii="Times New Roman" w:hAnsi="Times New Roman"/>
          <w:b w:val="false"/>
          <w:i w:val="false"/>
          <w:strike/>
          <w:color w:val="000000"/>
          <w:sz w:val="24"/>
        </w:rPr>
        <w:t>botox</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botulinum toxin (Botox or other brand)</w:t>
      </w:r>
      <w:r>
        <w:rPr>
          <w:rFonts w:ascii="Times New Roman" w:hAnsi="Times New Roman"/>
          <w:b w:val="false"/>
          <w:i w:val="false"/>
          <w:color w:val="000000"/>
          <w:sz w:val="24"/>
        </w:rPr>
        <w:t xml:space="preserve"> injections; collagen injections; and tattoo removal.</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481—655.14(146A)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481—655.14</w:t>
      </w:r>
      <w:r>
        <w:rPr>
          <w:rFonts w:ascii="Times New Roman" w:hAnsi="Times New Roman"/>
          <w:b/>
          <w:i w:val="false"/>
          <w:color w:val="000000"/>
          <w:sz w:val="24"/>
        </w:rPr>
        <w:t xml:space="preserve">(146A) </w:t>
      </w:r>
      <w:r>
        <w:rPr>
          <w:rFonts w:ascii="Times New Roman" w:hAnsi="Times New Roman"/>
          <w:b/>
          <w:i w:val="false"/>
          <w:color w:val="000000"/>
          <w:sz w:val="24"/>
        </w:rPr>
        <w:t xml:space="preserve">Abortion prerequisites.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655.14(1)</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Examination. </w:t>
      </w:r>
      <w:r>
        <w:rPr>
          <w:rFonts w:ascii="Times New Roman" w:hAnsi="Times New Roman"/>
          <w:b w:val="false"/>
          <w:i w:val="false"/>
          <w:color w:val="000000"/>
          <w:sz w:val="24"/>
          <w:u w:val="single"/>
        </w:rPr>
        <w:t xml:space="preserve">Prior to performing or ordering medication to induce an abortion, as defined in Iowa Code section </w:t>
      </w:r>
      <w:hyperlink r:id="rId17">
        <w:r>
          <w:rPr>
            <w:rStyle w:val="Hyperlink"/>
            <w:rFonts w:ascii="Times New Roman" w:hAnsi="Times New Roman"/>
            <w:b w:val="false"/>
            <w:i w:val="false"/>
            <w:color w:val="000000"/>
            <w:sz w:val="24"/>
            <w:u w:val="single"/>
          </w:rPr>
          <w:t>146B.1</w:t>
        </w:r>
      </w:hyperlink>
      <w:r>
        <w:rPr>
          <w:rFonts w:ascii="Times New Roman" w:hAnsi="Times New Roman"/>
          <w:b w:val="false"/>
          <w:i w:val="false"/>
          <w:color w:val="000000"/>
          <w:sz w:val="24"/>
          <w:u w:val="single"/>
        </w:rPr>
        <w:t>, a physician shall perform an in-person examination of the pregnant woman; screen for indicia of coercion or abuse; and, if indicated, refer the woman to an appropriate health care provider for treatment consistent with the examination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655.14(1)</w:t>
      </w:r>
      <w:r>
        <w:rPr>
          <w:rFonts w:ascii="Times New Roman" w:hAnsi="Times New Roman"/>
          <w:b w:val="false"/>
          <w:i w:val="false"/>
          <w:color w:val="000000"/>
          <w:sz w:val="24"/>
        </w:rPr>
        <w:t xml:space="preserve"> </w:t>
      </w:r>
      <w:r>
        <w:rPr>
          <w:rFonts w:ascii="Times New Roman" w:hAnsi="Times New Roman"/>
          <w:b/>
          <w:i w:val="false"/>
          <w:color w:val="000000"/>
          <w:sz w:val="24"/>
          <w:u w:val="single"/>
        </w:rPr>
        <w:t>655.14(2)</w:t>
      </w:r>
      <w:r>
        <w:rPr>
          <w:rFonts w:ascii="Times New Roman" w:hAnsi="Times New Roman"/>
          <w:b w:val="false"/>
          <w:i w:val="false"/>
          <w:color w:val="000000"/>
          <w:sz w:val="24"/>
        </w:rPr>
        <w:t> </w:t>
      </w:r>
      <w:r>
        <w:rPr>
          <w:rFonts w:ascii="Times New Roman" w:hAnsi="Times New Roman"/>
          <w:b w:val="false"/>
          <w:i/>
          <w:color w:val="000000"/>
          <w:sz w:val="24"/>
        </w:rPr>
        <w:t>Written certification</w:t>
      </w:r>
      <w:r>
        <w:rPr>
          <w:rFonts w:ascii="Times New Roman" w:hAnsi="Times New Roman"/>
          <w:b w:val="false"/>
          <w:i/>
          <w:color w:val="000000"/>
          <w:sz w:val="24"/>
          <w:u w:val="single"/>
        </w:rPr>
        <w:t> </w:t>
      </w:r>
      <w:r>
        <w:rPr>
          <w:rFonts w:ascii="Times New Roman" w:hAnsi="Times New Roman"/>
          <w:b w:val="false"/>
          <w:i/>
          <w:color w:val="000000"/>
          <w:sz w:val="24"/>
          <w:u w:val="single"/>
        </w:rPr>
        <w:t>requirements for abortion and induction of abortion</w:t>
      </w:r>
      <w:r>
        <w:rPr>
          <w:rFonts w:ascii="Times New Roman" w:hAnsi="Times New Roman"/>
          <w:b w:val="false"/>
          <w:i/>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a.</w:t>
      </w:r>
      <w:r>
        <w:rPr>
          <w:rFonts w:ascii="Times New Roman" w:hAnsi="Times New Roman"/>
          <w:b w:val="false"/>
          <w:i/>
          <w:color w:val="000000"/>
          <w:sz w:val="24"/>
          <w:u w:val="single"/>
        </w:rPr>
        <w:t>Abortion.</w:t>
      </w:r>
      <w:r>
        <w:rPr>
          <w:rFonts w:ascii="Times New Roman" w:hAnsi="Times New Roman"/>
          <w:b w:val="false"/>
          <w:i/>
          <w:color w:val="000000"/>
          <w:sz w:val="24"/>
        </w:rPr>
        <w:t xml:space="preserve"> </w:t>
      </w:r>
      <w:r>
        <w:rPr>
          <w:rFonts w:ascii="Times New Roman" w:hAnsi="Times New Roman"/>
          <w:b w:val="false"/>
          <w:i w:val="false"/>
          <w:color w:val="000000"/>
          <w:sz w:val="24"/>
        </w:rPr>
        <w:t xml:space="preserve">At least 24 hours prior to performing an abortion, a physician shall obtain written certification from the pregnant woman of each prerequisite as required in Iowa Code </w:t>
      </w:r>
      <w:r>
        <w:rPr>
          <w:rFonts w:ascii="Times New Roman" w:hAnsi="Times New Roman"/>
          <w:b w:val="false"/>
          <w:i w:val="false"/>
          <w:strike/>
          <w:color w:val="000000"/>
          <w:sz w:val="24"/>
        </w:rPr>
        <w:t>sections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section</w:t>
      </w:r>
      <w:r>
        <w:rPr>
          <w:rFonts w:ascii="Times New Roman" w:hAnsi="Times New Roman"/>
          <w:b w:val="false"/>
          <w:i w:val="false"/>
          <w:color w:val="000000"/>
          <w:sz w:val="24"/>
        </w:rPr>
        <w:t xml:space="preserve"> </w:t>
      </w:r>
      <w:hyperlink r:id="rId18">
        <w:r>
          <w:rPr>
            <w:rStyle w:val="Hyperlink"/>
            <w:rFonts w:ascii="Times New Roman" w:hAnsi="Times New Roman"/>
            <w:b w:val="false"/>
            <w:i w:val="false"/>
            <w:color w:val="000000"/>
            <w:sz w:val="24"/>
          </w:rPr>
          <w:t>146A.1(1)</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hyperlink r:id="rId19">
        <w:r>
          <w:rPr>
            <w:rStyle w:val="Hyperlink"/>
            <w:rFonts w:ascii="Times New Roman" w:hAnsi="Times New Roman"/>
            <w:b w:val="false"/>
            <w:i w:val="false"/>
            <w:color w:val="000000"/>
            <w:sz w:val="24"/>
          </w:rPr>
          <w:t>146A.1</w:t>
        </w:r>
      </w:hyperlink>
      <w:r>
        <w:rPr>
          <w:rFonts w:ascii="Times New Roman" w:hAnsi="Times New Roman"/>
          <w:b w:val="false"/>
          <w:i w:val="false"/>
          <w:color w:val="000000"/>
          <w:sz w:val="24"/>
        </w:rPr>
        <w:t>(1)</w:t>
      </w:r>
      <w:r>
        <w:rPr>
          <w:rFonts w:ascii="Times New Roman" w:hAnsi="Times New Roman"/>
          <w:b w:val="false"/>
          <w:i/>
          <w:color w:val="000000"/>
          <w:sz w:val="24"/>
        </w:rPr>
        <w:t>“d”</w:t>
      </w:r>
      <w:r>
        <w:rPr>
          <w:rFonts w:ascii="Times New Roman" w:hAnsi="Times New Roman"/>
          <w:b w:val="false"/>
          <w:i w:val="false"/>
          <w:color w:val="000000"/>
          <w:sz w:val="24"/>
        </w:rPr>
        <w:t>(1). The written certification shall list each required prerequisite separately and shall include a line for date and signature of the pregnant woman. The physician shall maintain a copy of the certification as part of the pregnant woman’s medical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color w:val="000000"/>
          <w:sz w:val="24"/>
          <w:u w:val="single"/>
        </w:rPr>
        <w:t xml:space="preserve">Inducing abortion. </w:t>
      </w:r>
      <w:r>
        <w:rPr>
          <w:rFonts w:ascii="Times New Roman" w:hAnsi="Times New Roman"/>
          <w:b w:val="false"/>
          <w:i w:val="false"/>
          <w:color w:val="000000"/>
          <w:sz w:val="24"/>
          <w:u w:val="single"/>
        </w:rPr>
        <w:t xml:space="preserve">Prior to prescribing or dispensing an abortion-inducing drug, a physician shall obtain written certification from the pregnant woman of each prerequisite as required in Iowa Code section </w:t>
      </w:r>
      <w:hyperlink r:id="rId20">
        <w:r>
          <w:rPr>
            <w:rStyle w:val="Hyperlink"/>
            <w:rFonts w:ascii="Times New Roman" w:hAnsi="Times New Roman"/>
            <w:b w:val="false"/>
            <w:i w:val="false"/>
            <w:color w:val="000000"/>
            <w:sz w:val="24"/>
            <w:u w:val="single"/>
          </w:rPr>
          <w:t>146A.2(2)</w:t>
        </w:r>
      </w:hyperlink>
      <w:r>
        <w:rPr>
          <w:rFonts w:ascii="Times New Roman" w:hAnsi="Times New Roman"/>
          <w:b w:val="false"/>
          <w:i/>
          <w:color w:val="000000"/>
          <w:sz w:val="24"/>
          <w:u w:val="single"/>
        </w:rPr>
        <w:t>“a”</w:t>
      </w:r>
      <w:r>
        <w:rPr>
          <w:rFonts w:ascii="Times New Roman" w:hAnsi="Times New Roman"/>
          <w:b w:val="false"/>
          <w:i w:val="false"/>
          <w:color w:val="000000"/>
          <w:sz w:val="24"/>
          <w:u w:val="single"/>
        </w:rPr>
        <w:t xml:space="preserve"> through </w:t>
      </w:r>
      <w:r>
        <w:rPr>
          <w:rFonts w:ascii="Times New Roman" w:hAnsi="Times New Roman"/>
          <w:b w:val="false"/>
          <w:i/>
          <w:color w:val="000000"/>
          <w:sz w:val="24"/>
          <w:u w:val="single"/>
        </w:rPr>
        <w:t>“c.”</w:t>
      </w:r>
      <w:r>
        <w:rPr>
          <w:rFonts w:ascii="Times New Roman" w:hAnsi="Times New Roman"/>
          <w:b w:val="false"/>
          <w:i w:val="false"/>
          <w:color w:val="000000"/>
          <w:sz w:val="24"/>
          <w:u w:val="single"/>
        </w:rPr>
        <w:t xml:space="preserve"> The written certification shall list each required prerequisite separately and shall include a line for date and signature of the pregnant woman. The physician shall maintain a copy of the certification as part of the pregnant woman’s medical records. Additionally, prior to dispensing an abortion-inducing drug, all requirements of Iowa Code section </w:t>
      </w:r>
      <w:hyperlink r:id="rId21">
        <w:r>
          <w:rPr>
            <w:rStyle w:val="Hyperlink"/>
            <w:rFonts w:ascii="Times New Roman" w:hAnsi="Times New Roman"/>
            <w:b w:val="false"/>
            <w:i w:val="false"/>
            <w:color w:val="000000"/>
            <w:sz w:val="24"/>
            <w:u w:val="single"/>
          </w:rPr>
          <w:t>146F.2(1)</w:t>
        </w:r>
      </w:hyperlink>
      <w:r>
        <w:rPr>
          <w:rFonts w:ascii="Times New Roman" w:hAnsi="Times New Roman"/>
          <w:b w:val="false"/>
          <w:i/>
          <w:color w:val="000000"/>
          <w:sz w:val="24"/>
          <w:u w:val="single"/>
        </w:rPr>
        <w:t>“a”</w:t>
      </w:r>
      <w:r>
        <w:rPr>
          <w:rFonts w:ascii="Times New Roman" w:hAnsi="Times New Roman"/>
          <w:b w:val="false"/>
          <w:i w:val="false"/>
          <w:color w:val="000000"/>
          <w:sz w:val="24"/>
          <w:u w:val="single"/>
        </w:rPr>
        <w:t xml:space="preserve"> and </w:t>
      </w:r>
      <w:r>
        <w:rPr>
          <w:rFonts w:ascii="Times New Roman" w:hAnsi="Times New Roman"/>
          <w:b w:val="false"/>
          <w:i/>
          <w:color w:val="000000"/>
          <w:sz w:val="24"/>
          <w:u w:val="single"/>
        </w:rPr>
        <w:t>“b”</w:t>
      </w:r>
      <w:r>
        <w:rPr>
          <w:rFonts w:ascii="Times New Roman" w:hAnsi="Times New Roman"/>
          <w:b w:val="false"/>
          <w:i w:val="false"/>
          <w:color w:val="000000"/>
          <w:sz w:val="24"/>
          <w:u w:val="single"/>
        </w:rPr>
        <w:t xml:space="preserve"> must be met and the health care professional prescribing the drug must document compliance in the medical record and maintain a copy.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655.14(2)</w:t>
      </w:r>
      <w:r>
        <w:rPr>
          <w:rFonts w:ascii="Times New Roman" w:hAnsi="Times New Roman"/>
          <w:b w:val="false"/>
          <w:i w:val="false"/>
          <w:color w:val="000000"/>
          <w:sz w:val="24"/>
        </w:rPr>
        <w:t xml:space="preserve"> </w:t>
      </w:r>
      <w:r>
        <w:rPr>
          <w:rFonts w:ascii="Times New Roman" w:hAnsi="Times New Roman"/>
          <w:b/>
          <w:i w:val="false"/>
          <w:color w:val="000000"/>
          <w:sz w:val="24"/>
          <w:u w:val="single"/>
        </w:rPr>
        <w:t>655.14(3)</w:t>
      </w:r>
      <w:r>
        <w:rPr>
          <w:rFonts w:ascii="Times New Roman" w:hAnsi="Times New Roman"/>
          <w:b w:val="false"/>
          <w:i w:val="false"/>
          <w:color w:val="000000"/>
          <w:sz w:val="24"/>
        </w:rPr>
        <w:t> </w:t>
      </w:r>
      <w:r>
        <w:rPr>
          <w:rFonts w:ascii="Times New Roman" w:hAnsi="Times New Roman"/>
          <w:b w:val="false"/>
          <w:i/>
          <w:color w:val="000000"/>
          <w:sz w:val="24"/>
        </w:rPr>
        <w:t xml:space="preserve">Exceptions. </w:t>
      </w:r>
      <w:r>
        <w:rPr>
          <w:rFonts w:ascii="Times New Roman" w:hAnsi="Times New Roman"/>
          <w:b w:val="false"/>
          <w:i w:val="false"/>
          <w:strike/>
          <w:color w:val="000000"/>
          <w:sz w:val="24"/>
        </w:rPr>
        <w:t>This rule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Subrules </w:t>
      </w:r>
      <w:r>
        <w:rPr>
          <w:rFonts w:ascii="Times New Roman" w:hAnsi="Times New Roman"/>
          <w:b w:val="false"/>
          <w:i w:val="false"/>
          <w:color w:val="000000"/>
          <w:sz w:val="24"/>
          <w:u w:val="single"/>
        </w:rPr>
        <w:t>655.14(1)</w:t>
      </w:r>
      <w:r>
        <w:rPr>
          <w:rFonts w:ascii="Times New Roman" w:hAnsi="Times New Roman"/>
          <w:b w:val="false"/>
          <w:i w:val="false"/>
          <w:color w:val="000000"/>
          <w:sz w:val="24"/>
          <w:u w:val="single"/>
        </w:rPr>
        <w:t xml:space="preserve"> and </w:t>
      </w:r>
      <w:r>
        <w:rPr>
          <w:rFonts w:ascii="Times New Roman" w:hAnsi="Times New Roman"/>
          <w:b w:val="false"/>
          <w:i w:val="false"/>
          <w:color w:val="000000"/>
          <w:sz w:val="24"/>
          <w:u w:val="single"/>
        </w:rPr>
        <w:t>655.14(2)</w:t>
      </w:r>
      <w:r>
        <w:rPr>
          <w:rFonts w:ascii="Times New Roman" w:hAnsi="Times New Roman"/>
          <w:b w:val="false"/>
          <w:i w:val="false"/>
          <w:color w:val="000000"/>
          <w:sz w:val="24"/>
        </w:rPr>
        <w:t xml:space="preserve"> shall not apply to abortions performed in a medical emergency, as provided in Iowa Code section </w:t>
      </w:r>
      <w:hyperlink r:id="rId22">
        <w:r>
          <w:rPr>
            <w:rStyle w:val="Hyperlink"/>
            <w:rFonts w:ascii="Times New Roman" w:hAnsi="Times New Roman"/>
            <w:b w:val="false"/>
            <w:i w:val="false"/>
            <w:color w:val="000000"/>
            <w:sz w:val="24"/>
          </w:rPr>
          <w:t>146A.1(2)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655.14(3)</w:t>
      </w:r>
      <w:r>
        <w:rPr>
          <w:rFonts w:ascii="Times New Roman" w:hAnsi="Times New Roman"/>
          <w:b w:val="false"/>
          <w:i w:val="false"/>
          <w:color w:val="000000"/>
          <w:sz w:val="24"/>
        </w:rPr>
        <w:t xml:space="preserve"> </w:t>
      </w:r>
      <w:r>
        <w:rPr>
          <w:rFonts w:ascii="Times New Roman" w:hAnsi="Times New Roman"/>
          <w:b/>
          <w:i w:val="false"/>
          <w:color w:val="000000"/>
          <w:sz w:val="24"/>
          <w:u w:val="single"/>
        </w:rPr>
        <w:t>655.14(4)</w:t>
      </w:r>
      <w:r>
        <w:rPr>
          <w:rFonts w:ascii="Times New Roman" w:hAnsi="Times New Roman"/>
          <w:b w:val="false"/>
          <w:i w:val="false"/>
          <w:color w:val="000000"/>
          <w:sz w:val="24"/>
        </w:rPr>
        <w:t> </w:t>
      </w:r>
      <w:r>
        <w:rPr>
          <w:rFonts w:ascii="Times New Roman" w:hAnsi="Times New Roman"/>
          <w:b w:val="false"/>
          <w:i/>
          <w:color w:val="000000"/>
          <w:sz w:val="24"/>
        </w:rPr>
        <w:t xml:space="preserve">Discipline. </w:t>
      </w:r>
      <w:r>
        <w:rPr>
          <w:rFonts w:ascii="Times New Roman" w:hAnsi="Times New Roman"/>
          <w:b w:val="false"/>
          <w:i w:val="false"/>
          <w:color w:val="000000"/>
          <w:sz w:val="24"/>
        </w:rPr>
        <w:t xml:space="preserve">Failure to comply with this rule or the requirements of Iowa Code </w:t>
      </w:r>
      <w:r>
        <w:rPr>
          <w:rFonts w:ascii="Times New Roman" w:hAnsi="Times New Roman"/>
          <w:b w:val="false"/>
          <w:i w:val="false"/>
          <w:strike/>
          <w:color w:val="000000"/>
          <w:sz w:val="24"/>
        </w:rPr>
        <w:t>section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sections</w:t>
      </w:r>
      <w:r>
        <w:rPr>
          <w:rFonts w:ascii="Times New Roman" w:hAnsi="Times New Roman"/>
          <w:b w:val="false"/>
          <w:i w:val="false"/>
          <w:color w:val="000000"/>
          <w:sz w:val="24"/>
        </w:rPr>
        <w:t xml:space="preserve"> </w:t>
      </w:r>
      <w:hyperlink r:id="rId23">
        <w:r>
          <w:rPr>
            <w:rStyle w:val="Hyperlink"/>
            <w:rFonts w:ascii="Times New Roman" w:hAnsi="Times New Roman"/>
            <w:b w:val="false"/>
            <w:i w:val="false"/>
            <w:color w:val="000000"/>
            <w:sz w:val="24"/>
          </w:rPr>
          <w:t>146A.1</w:t>
        </w:r>
      </w:hyperlink>
      <w:r>
        <w:rPr>
          <w:rFonts w:ascii="Times New Roman" w:hAnsi="Times New Roman"/>
          <w:b w:val="false"/>
          <w:i w:val="false"/>
          <w:color w:val="000000"/>
          <w:sz w:val="24"/>
        </w:rPr>
        <w:t xml:space="preserve"> </w:t>
      </w:r>
      <w:r>
        <w:rPr>
          <w:rFonts w:ascii="Times New Roman" w:hAnsi="Times New Roman"/>
          <w:b w:val="false"/>
          <w:i w:val="false"/>
          <w:color w:val="000000"/>
          <w:sz w:val="24"/>
          <w:u w:val="single"/>
        </w:rPr>
        <w:t xml:space="preserve">and </w:t>
      </w:r>
      <w:hyperlink r:id="rId24">
        <w:r>
          <w:rPr>
            <w:rStyle w:val="Hyperlink"/>
            <w:rFonts w:ascii="Times New Roman" w:hAnsi="Times New Roman"/>
            <w:b w:val="false"/>
            <w:i w:val="false"/>
            <w:color w:val="000000"/>
            <w:sz w:val="24"/>
            <w:u w:val="single"/>
          </w:rPr>
          <w:t>146A.2</w:t>
        </w:r>
      </w:hyperlink>
      <w:r>
        <w:rPr>
          <w:rFonts w:ascii="Times New Roman" w:hAnsi="Times New Roman"/>
          <w:b w:val="false"/>
          <w:i w:val="false"/>
          <w:color w:val="000000"/>
          <w:sz w:val="24"/>
          <w:u w:val="single"/>
        </w:rPr>
        <w:t xml:space="preserve"> and chapter </w:t>
      </w:r>
      <w:hyperlink r:id="rId25">
        <w:r>
          <w:rPr>
            <w:rStyle w:val="Hyperlink"/>
            <w:rFonts w:ascii="Times New Roman" w:hAnsi="Times New Roman"/>
            <w:b w:val="false"/>
            <w:i w:val="false"/>
            <w:color w:val="000000"/>
            <w:sz w:val="24"/>
            <w:u w:val="single"/>
          </w:rPr>
          <w:t>146F</w:t>
        </w:r>
      </w:hyperlink>
      <w:r>
        <w:rPr>
          <w:rFonts w:ascii="Times New Roman" w:hAnsi="Times New Roman"/>
          <w:b w:val="false"/>
          <w:i w:val="false"/>
          <w:color w:val="000000"/>
          <w:sz w:val="24"/>
          <w:u w:val="single"/>
        </w:rPr>
        <w:t> </w:t>
      </w:r>
      <w:r>
        <w:rPr>
          <w:rFonts w:ascii="Times New Roman" w:hAnsi="Times New Roman"/>
          <w:b w:val="false"/>
          <w:i w:val="false"/>
          <w:color w:val="000000"/>
          <w:sz w:val="24"/>
        </w:rPr>
        <w:t>may constitute grounds for discipline.</w:t>
      </w:r>
    </w:p>
    <w:p>
      <w:pPr>
        <w:spacing w:before="0" w:after="0" w:line="240"/>
        <w:ind w:left="120"/>
        <w:jc w:val="both"/>
      </w:pPr>
    </w:p>
    <w:sectPr>
      <w:footerReference r:id="rId2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aura.berardi@dia.iowa.gov" Type="http://schemas.openxmlformats.org/officeDocument/2006/relationships/hyperlink" Id="rId4"/>
    <Relationship TargetMode="External" Target="http://www.veridoc.org" Type="http://schemas.openxmlformats.org/officeDocument/2006/relationships/hyperlink" Id="rId5"/>
    <Relationship TargetMode="External" Target="https://www.legis.iowa.gov/docs/iac/rule/653.651.5.pdf" Type="http://schemas.openxmlformats.org/officeDocument/2006/relationships/hyperlink" Id="rId6"/>
    <Relationship TargetMode="External" Target="https://www.legis.iowa.gov/docs/iac/chapter/481.654.pdf" Type="http://schemas.openxmlformats.org/officeDocument/2006/relationships/hyperlink" Id="rId7"/>
    <Relationship TargetMode="External" Target="https://www.legis.iowa.gov/docs/ico/chapter/148.4.pdf" Type="http://schemas.openxmlformats.org/officeDocument/2006/relationships/hyperlink" Id="rId8"/>
    <Relationship TargetMode="External" Target="https://www.legis.iowa.gov/docs/ico/chapter/148.4.pdf" Type="http://schemas.openxmlformats.org/officeDocument/2006/relationships/hyperlink" Id="rId9"/>
    <Relationship TargetMode="External" Target="https://www.legis.iowa.gov/docs/iac/chapter/481.651.pdf" Type="http://schemas.openxmlformats.org/officeDocument/2006/relationships/hyperlink" Id="rId10"/>
    <Relationship TargetMode="External" Target="https://www.legis.iowa.gov/docs/iac/chapter/481.652.pdf" Type="http://schemas.openxmlformats.org/officeDocument/2006/relationships/hyperlink" Id="rId11"/>
    <Relationship TargetMode="External" Target="https://www.legis.iowa.gov/docs/iac/rule/481.652.14.pdf" Type="http://schemas.openxmlformats.org/officeDocument/2006/relationships/hyperlink" Id="rId12"/>
    <Relationship TargetMode="External" Target="https://www.legis.iowa.gov/docs/iac/rule/653.652.18.pdf" Type="http://schemas.openxmlformats.org/officeDocument/2006/relationships/hyperlink" Id="rId13"/>
    <Relationship TargetMode="External" Target="https://www.legis.iowa.gov/docs/iac/chapter/481.654.pdf" Type="http://schemas.openxmlformats.org/officeDocument/2006/relationships/hyperlink" Id="rId14"/>
    <Relationship TargetMode="External" Target="https://www.legis.iowa.gov/docs/ico/chapter/232.69.pdf" Type="http://schemas.openxmlformats.org/officeDocument/2006/relationships/hyperlink" Id="rId15"/>
    <Relationship TargetMode="External" Target="https://www.legis.iowa.gov/docs/ico/chapter/235B.16.pdf" Type="http://schemas.openxmlformats.org/officeDocument/2006/relationships/hyperlink" Id="rId16"/>
    <Relationship TargetMode="External" Target="https://www.legis.iowa.gov/docs/ico/chapter/146B.1.pdf" Type="http://schemas.openxmlformats.org/officeDocument/2006/relationships/hyperlink" Id="rId17"/>
    <Relationship TargetMode="External" Target="https://www.legis.iowa.gov/docs/ico/chapter/146A.1.pdf" Type="http://schemas.openxmlformats.org/officeDocument/2006/relationships/hyperlink" Id="rId18"/>
    <Relationship TargetMode="External" Target="https://www.legis.iowa.gov/docs/ico/chapter/146A.1.pdf" Type="http://schemas.openxmlformats.org/officeDocument/2006/relationships/hyperlink" Id="rId19"/>
    <Relationship TargetMode="External" Target="https://www.legis.iowa.gov/docs/ico/chapter/146A.2.pdf" Type="http://schemas.openxmlformats.org/officeDocument/2006/relationships/hyperlink" Id="rId20"/>
    <Relationship TargetMode="External" Target="https://www.legis.iowa.gov/docs/ico/chapter/146F.2.pdf" Type="http://schemas.openxmlformats.org/officeDocument/2006/relationships/hyperlink" Id="rId21"/>
    <Relationship TargetMode="External" Target="https://www.legis.iowa.gov/docs/ico/chapter/146A.1.pdf" Type="http://schemas.openxmlformats.org/officeDocument/2006/relationships/hyperlink" Id="rId22"/>
    <Relationship TargetMode="External" Target="https://www.legis.iowa.gov/docs/ico/chapter/146A.1.pdf" Type="http://schemas.openxmlformats.org/officeDocument/2006/relationships/hyperlink" Id="rId23"/>
    <Relationship TargetMode="External" Target="https://www.legis.iowa.gov/docs/ico/chapter/146A.2.pdf" Type="http://schemas.openxmlformats.org/officeDocument/2006/relationships/hyperlink" Id="rId24"/>
    <Relationship TargetMode="External" Target="https://www.legis.iowa.gov/docs/ico/chapter/146F.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